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1B5F7" w14:textId="77777777" w:rsidR="000A7935" w:rsidRDefault="00000000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GUIA DE APRENDIZAGEM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7AB6484F" wp14:editId="3E00E67A">
                <wp:simplePos x="0" y="0"/>
                <wp:positionH relativeFrom="column">
                  <wp:posOffset>6120130</wp:posOffset>
                </wp:positionH>
                <wp:positionV relativeFrom="paragraph">
                  <wp:posOffset>-44077</wp:posOffset>
                </wp:positionV>
                <wp:extent cx="818515" cy="717250"/>
                <wp:effectExtent l="0" t="0" r="0" b="0"/>
                <wp:wrapNone/>
                <wp:docPr id="1604936285" name="Retângulo 1604936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49443" y="3434075"/>
                          <a:ext cx="793115" cy="69185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1C3052"/>
                          </a:solidFill>
                          <a:prstDash val="dot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7BE13FD" w14:textId="77777777" w:rsidR="000A7935" w:rsidRDefault="00000000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Inserir o símbolo da escola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B6484F" id="Retângulo 1604936285" o:spid="_x0000_s1026" style="position:absolute;left:0;text-align:left;margin-left:481.9pt;margin-top:-3.45pt;width:64.45pt;height:56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" filled="f" strokecolor="#1c3052" strokeweight="1pt">
                <v:stroke dashstyle="dot" startarrowwidth="narrow" startarrowlength="short" endarrowwidth="narrow" endarrowlength="short"/>
                <v:textbox inset="2.53958mm,1.2694mm,2.53958mm,1.2694mm">
                  <w:txbxContent>
                    <w:p w14:paraId="27BE13FD" w14:textId="77777777" w:rsidR="000A7935" w:rsidRDefault="00000000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i/>
                          <w:color w:val="000000"/>
                          <w:sz w:val="20"/>
                        </w:rPr>
                        <w:t>Inserir o símbolo da escola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43969FD3" wp14:editId="047E42C3">
            <wp:simplePos x="0" y="0"/>
            <wp:positionH relativeFrom="column">
              <wp:posOffset>2</wp:posOffset>
            </wp:positionH>
            <wp:positionV relativeFrom="paragraph">
              <wp:posOffset>-633</wp:posOffset>
            </wp:positionV>
            <wp:extent cx="1108364" cy="643864"/>
            <wp:effectExtent l="0" t="0" r="0" b="0"/>
            <wp:wrapNone/>
            <wp:docPr id="1604936288" name="image1.png" descr="Uma imagem contendo Interface gráfica do usuári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Uma imagem contendo Interface gráfica do usuário&#10;&#10;Descrição gerada automaticamen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8364" cy="64386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7AD3F5E6" wp14:editId="308D6833">
            <wp:simplePos x="0" y="0"/>
            <wp:positionH relativeFrom="column">
              <wp:posOffset>-766814</wp:posOffset>
            </wp:positionH>
            <wp:positionV relativeFrom="paragraph">
              <wp:posOffset>-984247</wp:posOffset>
            </wp:positionV>
            <wp:extent cx="2216989" cy="894877"/>
            <wp:effectExtent l="0" t="0" r="0" b="0"/>
            <wp:wrapNone/>
            <wp:docPr id="1604936290" name="image3.png" descr="Uma imagem contendo Text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Uma imagem contendo Texto&#10;&#10;Descrição gerada automaticamente"/>
                    <pic:cNvPicPr preferRelativeResize="0"/>
                  </pic:nvPicPr>
                  <pic:blipFill>
                    <a:blip r:embed="rId9"/>
                    <a:srcRect t="24282" b="35333"/>
                    <a:stretch>
                      <a:fillRect/>
                    </a:stretch>
                  </pic:blipFill>
                  <pic:spPr>
                    <a:xfrm>
                      <a:off x="0" y="0"/>
                      <a:ext cx="2216989" cy="8948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F3E8AA4" w14:textId="77777777" w:rsidR="000A7935" w:rsidRDefault="00000000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Ensino Médio/Ensino Fundamental</w:t>
      </w:r>
    </w:p>
    <w:tbl>
      <w:tblPr>
        <w:tblStyle w:val="a0"/>
        <w:tblpPr w:leftFromText="141" w:rightFromText="141" w:vertAnchor="page" w:horzAnchor="margin" w:tblpY="2692"/>
        <w:tblW w:w="1091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0"/>
        <w:gridCol w:w="2521"/>
        <w:gridCol w:w="153"/>
        <w:gridCol w:w="3280"/>
        <w:gridCol w:w="1539"/>
        <w:gridCol w:w="1469"/>
        <w:gridCol w:w="1508"/>
      </w:tblGrid>
      <w:tr w:rsidR="000A7935" w14:paraId="05C2750F" w14:textId="77777777" w:rsidTr="00DB6F64">
        <w:trPr>
          <w:trHeight w:val="269"/>
        </w:trPr>
        <w:tc>
          <w:tcPr>
            <w:tcW w:w="2961" w:type="dxa"/>
            <w:gridSpan w:val="2"/>
            <w:shd w:val="clear" w:color="auto" w:fill="94D8D0"/>
          </w:tcPr>
          <w:p w14:paraId="5D597B1C" w14:textId="77777777" w:rsidR="000A7935" w:rsidRDefault="00000000">
            <w:pPr>
              <w:rPr>
                <w:b/>
              </w:rPr>
            </w:pPr>
            <w:r>
              <w:rPr>
                <w:b/>
              </w:rPr>
              <w:t>Professor:</w:t>
            </w:r>
          </w:p>
        </w:tc>
        <w:tc>
          <w:tcPr>
            <w:tcW w:w="4972" w:type="dxa"/>
            <w:gridSpan w:val="3"/>
            <w:shd w:val="clear" w:color="auto" w:fill="94D8D0"/>
          </w:tcPr>
          <w:p w14:paraId="4CD4D097" w14:textId="77777777" w:rsidR="000A7935" w:rsidRDefault="00000000">
            <w:pPr>
              <w:rPr>
                <w:b/>
              </w:rPr>
            </w:pPr>
            <w:r>
              <w:rPr>
                <w:b/>
              </w:rPr>
              <w:t>Componente Curricular:</w:t>
            </w:r>
          </w:p>
        </w:tc>
        <w:tc>
          <w:tcPr>
            <w:tcW w:w="1469" w:type="dxa"/>
            <w:shd w:val="clear" w:color="auto" w:fill="94D8D0"/>
          </w:tcPr>
          <w:p w14:paraId="1B530E85" w14:textId="77777777" w:rsidR="000A7935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Ano/Turma:</w:t>
            </w:r>
          </w:p>
        </w:tc>
        <w:tc>
          <w:tcPr>
            <w:tcW w:w="1508" w:type="dxa"/>
            <w:shd w:val="clear" w:color="auto" w:fill="94D8D0"/>
          </w:tcPr>
          <w:p w14:paraId="5C60B9BD" w14:textId="77777777" w:rsidR="000A7935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Bimestre:</w:t>
            </w:r>
          </w:p>
        </w:tc>
      </w:tr>
      <w:tr w:rsidR="000A7935" w14:paraId="072C6F17" w14:textId="77777777" w:rsidTr="00DB6F64">
        <w:trPr>
          <w:trHeight w:val="414"/>
        </w:trPr>
        <w:tc>
          <w:tcPr>
            <w:tcW w:w="2961" w:type="dxa"/>
            <w:gridSpan w:val="2"/>
            <w:shd w:val="clear" w:color="auto" w:fill="FFFFFF"/>
          </w:tcPr>
          <w:p w14:paraId="10117B6C" w14:textId="77777777" w:rsidR="000A7935" w:rsidRDefault="000A7935">
            <w:pPr>
              <w:rPr>
                <w:b/>
              </w:rPr>
            </w:pPr>
          </w:p>
        </w:tc>
        <w:tc>
          <w:tcPr>
            <w:tcW w:w="4972" w:type="dxa"/>
            <w:gridSpan w:val="3"/>
            <w:shd w:val="clear" w:color="auto" w:fill="FFFFFF"/>
            <w:vAlign w:val="center"/>
          </w:tcPr>
          <w:p w14:paraId="09B88FD7" w14:textId="77777777" w:rsidR="000A7935" w:rsidRDefault="00000000">
            <w:r>
              <w:t>Matemática</w:t>
            </w:r>
          </w:p>
        </w:tc>
        <w:tc>
          <w:tcPr>
            <w:tcW w:w="1469" w:type="dxa"/>
            <w:shd w:val="clear" w:color="auto" w:fill="FFFFFF"/>
            <w:vAlign w:val="center"/>
          </w:tcPr>
          <w:p w14:paraId="0872E807" w14:textId="7C6ECCC0" w:rsidR="000A7935" w:rsidRDefault="00DB6F64">
            <w:pPr>
              <w:jc w:val="center"/>
            </w:pPr>
            <w:r>
              <w:t>2</w:t>
            </w:r>
            <w:r w:rsidR="00000000">
              <w:t>ª Série</w:t>
            </w:r>
          </w:p>
        </w:tc>
        <w:tc>
          <w:tcPr>
            <w:tcW w:w="1508" w:type="dxa"/>
            <w:shd w:val="clear" w:color="auto" w:fill="FFFFFF"/>
            <w:vAlign w:val="center"/>
          </w:tcPr>
          <w:p w14:paraId="3B3BFB82" w14:textId="77777777" w:rsidR="000A7935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4º Bimestre</w:t>
            </w:r>
          </w:p>
        </w:tc>
      </w:tr>
      <w:tr w:rsidR="000A7935" w14:paraId="15F3F9D7" w14:textId="77777777">
        <w:tc>
          <w:tcPr>
            <w:tcW w:w="10910" w:type="dxa"/>
            <w:gridSpan w:val="7"/>
            <w:shd w:val="clear" w:color="auto" w:fill="94D8D0"/>
          </w:tcPr>
          <w:p w14:paraId="4EAE760F" w14:textId="77777777" w:rsidR="000A7935" w:rsidRDefault="00000000">
            <w:pPr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Justificativa</w:t>
            </w:r>
          </w:p>
        </w:tc>
      </w:tr>
      <w:tr w:rsidR="000A7935" w14:paraId="47836842" w14:textId="77777777">
        <w:tc>
          <w:tcPr>
            <w:tcW w:w="10910" w:type="dxa"/>
            <w:gridSpan w:val="7"/>
          </w:tcPr>
          <w:p w14:paraId="4BC45F28" w14:textId="77777777" w:rsidR="000A7935" w:rsidRDefault="000000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Com base no Currículo Paulista, este Guia de Aprendizagem visa desenvolver as competências e habilidades do Componente de</w:t>
            </w:r>
            <w:r>
              <w:t xml:space="preserve"> Matemática</w:t>
            </w:r>
            <w:r>
              <w:rPr>
                <w:color w:val="000000"/>
              </w:rPr>
              <w:t xml:space="preserve"> e os princípios do Programa Ensino Integral, tais como: a Pedagogia da Presença, o Protagonismo, os Quatro Pilares da Educação e a Educação Interdimensional.</w:t>
            </w:r>
          </w:p>
        </w:tc>
      </w:tr>
      <w:tr w:rsidR="000A7935" w14:paraId="149C92A9" w14:textId="77777777">
        <w:tc>
          <w:tcPr>
            <w:tcW w:w="10910" w:type="dxa"/>
            <w:gridSpan w:val="7"/>
            <w:shd w:val="clear" w:color="auto" w:fill="94D8D0"/>
          </w:tcPr>
          <w:p w14:paraId="174386F1" w14:textId="77777777" w:rsidR="000A7935" w:rsidRDefault="0000000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Aproximação com a realidade do estudante</w:t>
            </w:r>
          </w:p>
        </w:tc>
      </w:tr>
      <w:tr w:rsidR="000A7935" w14:paraId="53C5D3B9" w14:textId="77777777">
        <w:trPr>
          <w:trHeight w:val="861"/>
        </w:trPr>
        <w:tc>
          <w:tcPr>
            <w:tcW w:w="10910" w:type="dxa"/>
            <w:gridSpan w:val="7"/>
          </w:tcPr>
          <w:p w14:paraId="55B31F55" w14:textId="24DE826D" w:rsidR="000A7935" w:rsidRDefault="00DB6F64">
            <w:pPr>
              <w:jc w:val="both"/>
              <w:rPr>
                <w:color w:val="000000"/>
              </w:rPr>
            </w:pPr>
            <w:bookmarkStart w:id="0" w:name="_heading=h.3wn7g82tmuv8" w:colFirst="0" w:colLast="0"/>
            <w:bookmarkEnd w:id="0"/>
            <w:r w:rsidRPr="00DB6F64">
              <w:rPr>
                <w:color w:val="000000"/>
              </w:rPr>
              <w:t>Compreender as relações entre os elementos dos poliedros, aplicar a relação de Euler e calcular áreas e volumes de prismas e cilindros são habilidades essenciais para o domínio da geometria espacial. Esses conceitos não apenas facilitam a resolução de problemas matemáticos complexos, mas também desenvolvem o pensamento lógico e a capacidade de abstração, fundamentais para o avanço em disciplinas científicas e tecnológicas. A avaliação crítica dessas relações e fórmulas permite uma visão mais profunda da estrutura dos objetos tridimensionais e suas aplicações práticas.</w:t>
            </w:r>
            <w:r w:rsidRPr="00DB6F64">
              <w:rPr>
                <w:color w:val="000000"/>
              </w:rPr>
              <w:t xml:space="preserve"> </w:t>
            </w:r>
            <w:r w:rsidR="00000000">
              <w:rPr>
                <w:color w:val="000000"/>
              </w:rPr>
              <w:t>Bons estudos!</w:t>
            </w:r>
          </w:p>
        </w:tc>
      </w:tr>
      <w:tr w:rsidR="000A7935" w14:paraId="6030C865" w14:textId="77777777">
        <w:tc>
          <w:tcPr>
            <w:tcW w:w="3114" w:type="dxa"/>
            <w:gridSpan w:val="3"/>
            <w:shd w:val="clear" w:color="auto" w:fill="94D8D0"/>
          </w:tcPr>
          <w:p w14:paraId="675843DC" w14:textId="77777777" w:rsidR="000A7935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Título</w:t>
            </w:r>
          </w:p>
        </w:tc>
        <w:tc>
          <w:tcPr>
            <w:tcW w:w="3280" w:type="dxa"/>
            <w:shd w:val="clear" w:color="auto" w:fill="94D8D0"/>
          </w:tcPr>
          <w:p w14:paraId="40303F17" w14:textId="77777777" w:rsidR="000A7935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Conteúdos</w:t>
            </w:r>
          </w:p>
        </w:tc>
        <w:tc>
          <w:tcPr>
            <w:tcW w:w="4516" w:type="dxa"/>
            <w:gridSpan w:val="3"/>
            <w:shd w:val="clear" w:color="auto" w:fill="94D8D0"/>
          </w:tcPr>
          <w:p w14:paraId="15F12BFA" w14:textId="77777777" w:rsidR="000A7935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Objetivos</w:t>
            </w:r>
          </w:p>
        </w:tc>
      </w:tr>
      <w:tr w:rsidR="0023694C" w14:paraId="68B292F8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4A84BBD5" w14:textId="77777777" w:rsidR="0023694C" w:rsidRDefault="0023694C" w:rsidP="0023694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6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26BEDB" w14:textId="246FBB56" w:rsidR="0023694C" w:rsidRPr="0023694C" w:rsidRDefault="0023694C" w:rsidP="0023694C">
            <w:pPr>
              <w:jc w:val="both"/>
            </w:pPr>
            <w:r w:rsidRPr="0023694C">
              <w:t>Poliedros - conceito e elementos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36FD7C" w14:textId="1B8F7ECC" w:rsidR="0023694C" w:rsidRPr="0023694C" w:rsidRDefault="0023694C" w:rsidP="0023694C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23694C">
              <w:rPr>
                <w:rFonts w:asciiTheme="minorHAnsi" w:hAnsiTheme="minorHAnsi" w:cstheme="minorHAnsi"/>
              </w:rPr>
              <w:t>Conceitos; elementos e relações entre elementos (vértices, arestas e faces)</w:t>
            </w:r>
          </w:p>
        </w:tc>
        <w:tc>
          <w:tcPr>
            <w:tcW w:w="45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F703EB" w14:textId="77777777" w:rsidR="0023694C" w:rsidRPr="0023694C" w:rsidRDefault="0023694C" w:rsidP="0023694C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23694C">
              <w:t>Conceituar poliedro convexo, diferenciando-o de poliedros não convexos. Identificar elementos de um poliedro (faces, vértices e arestas);</w:t>
            </w:r>
          </w:p>
          <w:p w14:paraId="21A59785" w14:textId="32874F39" w:rsidR="0023694C" w:rsidRPr="0023694C" w:rsidRDefault="0023694C" w:rsidP="0023694C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23694C">
              <w:t>Identificar os poliedros regulares.</w:t>
            </w:r>
          </w:p>
        </w:tc>
      </w:tr>
      <w:tr w:rsidR="0023694C" w14:paraId="59FF66C4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25BD2324" w14:textId="77777777" w:rsidR="0023694C" w:rsidRDefault="0023694C" w:rsidP="0023694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F9D6E5" w14:textId="62351F54" w:rsidR="0023694C" w:rsidRPr="0023694C" w:rsidRDefault="0023694C" w:rsidP="0023694C">
            <w:pPr>
              <w:jc w:val="both"/>
            </w:pPr>
            <w:r w:rsidRPr="0023694C">
              <w:t>Relação de Euler - Parte 1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75ED3F" w14:textId="7DF13254" w:rsidR="0023694C" w:rsidRPr="0023694C" w:rsidRDefault="0023694C" w:rsidP="0023694C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23694C">
              <w:rPr>
                <w:rFonts w:asciiTheme="minorHAnsi" w:hAnsiTheme="minorHAnsi" w:cstheme="minorHAnsi"/>
              </w:rPr>
              <w:t>Relações entre elementos de um poliedro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4AFFC36" w14:textId="77777777" w:rsidR="0023694C" w:rsidRPr="0023694C" w:rsidRDefault="0023694C" w:rsidP="0023694C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23694C">
              <w:t>Compreender a relação de Euler;</w:t>
            </w:r>
          </w:p>
          <w:p w14:paraId="5AE71820" w14:textId="77777777" w:rsidR="0023694C" w:rsidRPr="0023694C" w:rsidRDefault="0023694C" w:rsidP="0023694C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23694C">
              <w:t xml:space="preserve">Identificar poliedros que verificam a relação de Euler; </w:t>
            </w:r>
          </w:p>
          <w:p w14:paraId="410438AF" w14:textId="5E6B7151" w:rsidR="0023694C" w:rsidRPr="0023694C" w:rsidRDefault="0023694C" w:rsidP="0023694C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23694C">
              <w:t>Compreender a relação que fornece a soma dos ângulos de todas as faces de um poliedro convexo.</w:t>
            </w:r>
          </w:p>
        </w:tc>
      </w:tr>
      <w:tr w:rsidR="0023694C" w14:paraId="51A91AC6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36165B33" w14:textId="77777777" w:rsidR="0023694C" w:rsidRDefault="0023694C" w:rsidP="0023694C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B57FE2" w14:textId="2E73BD06" w:rsidR="0023694C" w:rsidRPr="0023694C" w:rsidRDefault="0023694C" w:rsidP="0023694C">
            <w:pPr>
              <w:jc w:val="both"/>
            </w:pPr>
            <w:r w:rsidRPr="0023694C">
              <w:t>Relação de Euler - Parte 2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5E7D5C" w14:textId="041E8C48" w:rsidR="0023694C" w:rsidRPr="0023694C" w:rsidRDefault="0023694C" w:rsidP="0023694C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23694C">
              <w:rPr>
                <w:rFonts w:asciiTheme="minorHAnsi" w:hAnsiTheme="minorHAnsi" w:cstheme="minorHAnsi"/>
              </w:rPr>
              <w:t>Resolução de problemas relacionados à relação de Euler.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6E5609" w14:textId="77777777" w:rsidR="0023694C" w:rsidRPr="0023694C" w:rsidRDefault="0023694C" w:rsidP="0023694C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23694C">
              <w:t xml:space="preserve">Compreender propriedades dos poliedros convexos; </w:t>
            </w:r>
          </w:p>
          <w:p w14:paraId="0F3DD1DF" w14:textId="6E956C72" w:rsidR="0023694C" w:rsidRPr="0023694C" w:rsidRDefault="0023694C" w:rsidP="0023694C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23694C">
              <w:t>Resolver problemas relacionados a poliedros convexos.</w:t>
            </w:r>
          </w:p>
        </w:tc>
      </w:tr>
      <w:tr w:rsidR="0023694C" w14:paraId="7AAE4143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5F74F1B3" w14:textId="77777777" w:rsidR="0023694C" w:rsidRDefault="0023694C" w:rsidP="0023694C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693CB7" w14:textId="6850B259" w:rsidR="0023694C" w:rsidRPr="0023694C" w:rsidRDefault="0023694C" w:rsidP="0023694C">
            <w:pPr>
              <w:jc w:val="both"/>
            </w:pPr>
            <w:r w:rsidRPr="0023694C">
              <w:t>Khan/Revisão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BEB4B7" w14:textId="2C6E0F35" w:rsidR="0023694C" w:rsidRPr="0023694C" w:rsidRDefault="0023694C" w:rsidP="0023694C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23694C">
              <w:rPr>
                <w:rFonts w:asciiTheme="minorHAnsi" w:hAnsiTheme="minorHAnsi" w:cstheme="minorHAnsi"/>
              </w:rPr>
              <w:t>Áreas de figuras planas: triângulo equilátero e hexágono regular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81B4EE3" w14:textId="55048EAD" w:rsidR="0023694C" w:rsidRPr="0023694C" w:rsidRDefault="0023694C" w:rsidP="0023694C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23694C">
              <w:t>Resolver problemas envolvendo áreas de triângulo equilátero e hexágono regular.</w:t>
            </w:r>
          </w:p>
        </w:tc>
      </w:tr>
      <w:tr w:rsidR="0023694C" w14:paraId="535CA868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0A0AAFA3" w14:textId="77777777" w:rsidR="0023694C" w:rsidRDefault="0023694C" w:rsidP="0023694C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00C346" w14:textId="22A73730" w:rsidR="0023694C" w:rsidRPr="0023694C" w:rsidRDefault="0023694C" w:rsidP="0023694C">
            <w:pPr>
              <w:jc w:val="both"/>
            </w:pPr>
            <w:r w:rsidRPr="0023694C">
              <w:t>Áreas de bloco retangular e de cubo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50591B" w14:textId="58B37921" w:rsidR="0023694C" w:rsidRPr="0023694C" w:rsidRDefault="0023694C" w:rsidP="0023694C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23694C">
              <w:rPr>
                <w:rFonts w:asciiTheme="minorHAnsi" w:hAnsiTheme="minorHAnsi" w:cstheme="minorHAnsi"/>
              </w:rPr>
              <w:t>Áreas laterais e áreas totais de blocos retangulares (incluindo o cubo)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D66F4B" w14:textId="77777777" w:rsidR="0023694C" w:rsidRPr="0023694C" w:rsidRDefault="0023694C" w:rsidP="0023694C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23694C">
              <w:t xml:space="preserve">Compreender a relação matemática para o cálculo da área total de um bloco retangular; </w:t>
            </w:r>
          </w:p>
          <w:p w14:paraId="398235F4" w14:textId="1D78734E" w:rsidR="0023694C" w:rsidRPr="0023694C" w:rsidRDefault="0023694C" w:rsidP="0023694C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23694C">
              <w:t>Compreender a relação matemática para o cálculo da área total de um cubo.</w:t>
            </w:r>
          </w:p>
        </w:tc>
      </w:tr>
      <w:tr w:rsidR="0023694C" w14:paraId="7A4D0FBC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24B584A9" w14:textId="77777777" w:rsidR="0023694C" w:rsidRDefault="0023694C" w:rsidP="0023694C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AF09EE" w14:textId="1B2637A4" w:rsidR="0023694C" w:rsidRPr="0023694C" w:rsidRDefault="0023694C" w:rsidP="0023694C">
            <w:pPr>
              <w:jc w:val="both"/>
            </w:pPr>
            <w:r w:rsidRPr="0023694C">
              <w:t>Resolução de problemas: áreas de bloco retangular e de cubo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76BFBC" w14:textId="77777777" w:rsidR="0023694C" w:rsidRPr="0023694C" w:rsidRDefault="0023694C" w:rsidP="0023694C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604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23694C">
              <w:rPr>
                <w:rFonts w:asciiTheme="minorHAnsi" w:hAnsiTheme="minorHAnsi" w:cstheme="minorHAnsi"/>
              </w:rPr>
              <w:t xml:space="preserve">Resolução de problemas envolvendo o cálculo de área total de bloco retangular (incluindo o cubo); </w:t>
            </w:r>
          </w:p>
          <w:p w14:paraId="7FCDB0AA" w14:textId="64D3D3F1" w:rsidR="0023694C" w:rsidRPr="0023694C" w:rsidRDefault="0023694C" w:rsidP="0023694C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604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23694C">
              <w:rPr>
                <w:rFonts w:asciiTheme="minorHAnsi" w:hAnsiTheme="minorHAnsi" w:cstheme="minorHAnsi"/>
              </w:rPr>
              <w:t>Resolução de problemas envolvendo o cálculo da diagonal de um bloco retangular (incluindo o cubo)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FF0F6B2" w14:textId="77777777" w:rsidR="0023694C" w:rsidRPr="0023694C" w:rsidRDefault="0023694C" w:rsidP="0023694C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23694C">
              <w:t xml:space="preserve">Resolver de problemas envolvendo o cálculo de área total de bloco retangular (incluindo o cubo); </w:t>
            </w:r>
          </w:p>
          <w:p w14:paraId="14C8E6DB" w14:textId="30EC2FC2" w:rsidR="0023694C" w:rsidRPr="0023694C" w:rsidRDefault="0023694C" w:rsidP="0023694C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23694C">
              <w:t>Resolver de problemas envolvendo o cálculo da diagonal de um bloco retangular (incluindo o cubo)</w:t>
            </w:r>
          </w:p>
        </w:tc>
      </w:tr>
      <w:tr w:rsidR="0023694C" w14:paraId="45597E29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796197A1" w14:textId="77777777" w:rsidR="0023694C" w:rsidRDefault="0023694C" w:rsidP="0023694C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7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02F0E7" w14:textId="1509F35C" w:rsidR="0023694C" w:rsidRPr="0023694C" w:rsidRDefault="0023694C" w:rsidP="0023694C">
            <w:pPr>
              <w:jc w:val="both"/>
            </w:pPr>
            <w:r w:rsidRPr="0023694C">
              <w:t>Áreas de prismas regulares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80EC16" w14:textId="4F2F9D91" w:rsidR="0023694C" w:rsidRPr="0023694C" w:rsidRDefault="0023694C" w:rsidP="0023694C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23694C">
              <w:rPr>
                <w:rFonts w:asciiTheme="minorHAnsi" w:hAnsiTheme="minorHAnsi" w:cstheme="minorHAnsi"/>
              </w:rPr>
              <w:t>Áreas laterais e totais de prismas retos: base triangular, base quadrada e base hexagonal.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7255FC" w14:textId="5C7BBD7D" w:rsidR="0023694C" w:rsidRPr="0023694C" w:rsidRDefault="0023694C" w:rsidP="0023694C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23694C">
              <w:t>Compreender as relações matemática para o cálculo da área lateral e a área total de prismas regulares.</w:t>
            </w:r>
          </w:p>
        </w:tc>
      </w:tr>
      <w:tr w:rsidR="0023694C" w14:paraId="775C27AE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1549CE07" w14:textId="77777777" w:rsidR="0023694C" w:rsidRDefault="0023694C" w:rsidP="0023694C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71A1EF" w14:textId="0C282355" w:rsidR="0023694C" w:rsidRPr="0023694C" w:rsidRDefault="0023694C" w:rsidP="0023694C">
            <w:pPr>
              <w:jc w:val="both"/>
            </w:pPr>
            <w:r w:rsidRPr="0023694C">
              <w:t>Áreas de prismas regulares - resolução de problemas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1DE1EF" w14:textId="0F46FEE1" w:rsidR="0023694C" w:rsidRPr="0023694C" w:rsidRDefault="0023694C" w:rsidP="0023694C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23694C">
              <w:rPr>
                <w:rFonts w:asciiTheme="minorHAnsi" w:hAnsiTheme="minorHAnsi" w:cstheme="minorHAnsi"/>
              </w:rPr>
              <w:t>Áreas laterais e totais de prismas regulares: base triangular, base quadrada e base hexagonal - resolução de problemas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094610E" w14:textId="1FCE3564" w:rsidR="0023694C" w:rsidRPr="0023694C" w:rsidRDefault="0023694C" w:rsidP="0023694C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23694C">
              <w:t>Resolver problemas relativos ao cálculo de área lateral e área total de prismas regulares.</w:t>
            </w:r>
          </w:p>
        </w:tc>
      </w:tr>
      <w:tr w:rsidR="0023694C" w14:paraId="2BEF22B7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256B36FF" w14:textId="77777777" w:rsidR="0023694C" w:rsidRDefault="0023694C" w:rsidP="0023694C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29A6FC" w14:textId="07943A3B" w:rsidR="0023694C" w:rsidRPr="0023694C" w:rsidRDefault="0023694C" w:rsidP="0023694C">
            <w:pPr>
              <w:jc w:val="both"/>
            </w:pPr>
            <w:r w:rsidRPr="0023694C">
              <w:t>Unidades de volume e capacidade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0B9FB5" w14:textId="485F64EE" w:rsidR="0023694C" w:rsidRPr="0023694C" w:rsidRDefault="0023694C" w:rsidP="0023694C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23694C">
              <w:rPr>
                <w:rFonts w:asciiTheme="minorHAnsi" w:hAnsiTheme="minorHAnsi" w:cstheme="minorHAnsi"/>
              </w:rPr>
              <w:t>Volume e capacidade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F593F1F" w14:textId="77777777" w:rsidR="0023694C" w:rsidRPr="0023694C" w:rsidRDefault="0023694C" w:rsidP="0023694C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23694C">
              <w:t xml:space="preserve">Retomar os conceitos de volume e de capacidade; </w:t>
            </w:r>
          </w:p>
          <w:p w14:paraId="420DF14E" w14:textId="0A3506F9" w:rsidR="0023694C" w:rsidRPr="0023694C" w:rsidRDefault="0023694C" w:rsidP="0023694C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23694C">
              <w:t>Retomar unidades de volume e capacidade.</w:t>
            </w:r>
          </w:p>
        </w:tc>
      </w:tr>
      <w:tr w:rsidR="0023694C" w14:paraId="0F875EDD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1013971B" w14:textId="77777777" w:rsidR="0023694C" w:rsidRDefault="0023694C" w:rsidP="0023694C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98AB5E" w14:textId="4BC0F32E" w:rsidR="0023694C" w:rsidRPr="0023694C" w:rsidRDefault="0023694C" w:rsidP="0023694C">
            <w:pPr>
              <w:jc w:val="both"/>
            </w:pPr>
            <w:r w:rsidRPr="0023694C">
              <w:t>Cálculo do volume de blocos retangulares - Parte 1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D3B541" w14:textId="0A409CB3" w:rsidR="0023694C" w:rsidRPr="0023694C" w:rsidRDefault="0023694C" w:rsidP="0023694C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23694C">
              <w:rPr>
                <w:rFonts w:asciiTheme="minorHAnsi" w:hAnsiTheme="minorHAnsi" w:cstheme="minorHAnsi"/>
              </w:rPr>
              <w:t>Cálculo do volume blocos retangulares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47D8C96" w14:textId="7B6084EE" w:rsidR="0023694C" w:rsidRPr="0023694C" w:rsidRDefault="0023694C" w:rsidP="0023694C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23694C">
              <w:t>Compreender o cálculo de volume de blocos retangulares (incluindo o cubo) a partir do empilhamento de cubos menores.</w:t>
            </w:r>
          </w:p>
        </w:tc>
      </w:tr>
      <w:tr w:rsidR="0023694C" w14:paraId="6304BC5F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574F0E3D" w14:textId="77777777" w:rsidR="0023694C" w:rsidRDefault="0023694C" w:rsidP="0023694C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E21EB8" w14:textId="1A79031F" w:rsidR="0023694C" w:rsidRPr="0023694C" w:rsidRDefault="0023694C" w:rsidP="0023694C">
            <w:pPr>
              <w:jc w:val="both"/>
            </w:pPr>
            <w:r w:rsidRPr="0023694C">
              <w:t>Cálculo do volume de blocos retangulares - Parte 3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D86C99" w14:textId="7D31AEE8" w:rsidR="0023694C" w:rsidRPr="0023694C" w:rsidRDefault="0023694C" w:rsidP="0023694C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23694C">
              <w:rPr>
                <w:rFonts w:asciiTheme="minorHAnsi" w:hAnsiTheme="minorHAnsi" w:cstheme="minorHAnsi"/>
              </w:rPr>
              <w:t>Cálculo do volume de blocos retangulares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47AB87F" w14:textId="4FD04293" w:rsidR="0023694C" w:rsidRPr="0023694C" w:rsidRDefault="0023694C" w:rsidP="0023694C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23694C">
              <w:t>Compreender a fórmula para o cálculo do volume de blocos retangulares (incluindo o cubo).</w:t>
            </w:r>
          </w:p>
        </w:tc>
      </w:tr>
      <w:tr w:rsidR="0023694C" w14:paraId="62D78CD9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47BB795B" w14:textId="77777777" w:rsidR="0023694C" w:rsidRDefault="0023694C" w:rsidP="0023694C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2B60A9" w14:textId="62BA6092" w:rsidR="0023694C" w:rsidRPr="0023694C" w:rsidRDefault="0023694C" w:rsidP="0023694C">
            <w:pPr>
              <w:jc w:val="both"/>
            </w:pPr>
            <w:r w:rsidRPr="0023694C">
              <w:t>Khan/Revisão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041674" w14:textId="5E6534A7" w:rsidR="0023694C" w:rsidRPr="0023694C" w:rsidRDefault="0023694C" w:rsidP="0023694C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23694C">
              <w:rPr>
                <w:rFonts w:asciiTheme="minorHAnsi" w:hAnsiTheme="minorHAnsi" w:cstheme="minorHAnsi"/>
              </w:rPr>
              <w:t>Volume e capacidade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A78440E" w14:textId="4F68340C" w:rsidR="0023694C" w:rsidRPr="0023694C" w:rsidRDefault="0023694C" w:rsidP="0023694C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23694C">
              <w:t>Resolver problemas sobre transformações de unidades de volume e capacidade</w:t>
            </w:r>
          </w:p>
        </w:tc>
      </w:tr>
      <w:tr w:rsidR="0023694C" w14:paraId="4A6BD919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024350C7" w14:textId="77777777" w:rsidR="0023694C" w:rsidRDefault="0023694C" w:rsidP="0023694C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7EA401" w14:textId="5C1635FA" w:rsidR="0023694C" w:rsidRPr="0023694C" w:rsidRDefault="0023694C" w:rsidP="0023694C">
            <w:pPr>
              <w:jc w:val="both"/>
            </w:pPr>
            <w:r w:rsidRPr="0023694C">
              <w:t>Relação para o cálculo do volume de um bloco retangular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669FAA" w14:textId="3C355046" w:rsidR="0023694C" w:rsidRPr="0023694C" w:rsidRDefault="0023694C" w:rsidP="0023694C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23694C">
              <w:rPr>
                <w:rFonts w:asciiTheme="minorHAnsi" w:hAnsiTheme="minorHAnsi" w:cstheme="minorHAnsi"/>
              </w:rPr>
              <w:t>Volume do bloco retangular (e cubo): estabelecimento das fórmulas.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9740149" w14:textId="77777777" w:rsidR="0023694C" w:rsidRPr="0023694C" w:rsidRDefault="0023694C" w:rsidP="0023694C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23694C">
              <w:t xml:space="preserve">Retomar a relação matemática para o cálculo do volume de um bloco retangular; </w:t>
            </w:r>
          </w:p>
          <w:p w14:paraId="57314CC3" w14:textId="77777777" w:rsidR="0023694C" w:rsidRPr="0023694C" w:rsidRDefault="0023694C" w:rsidP="0023694C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23694C">
              <w:t xml:space="preserve">Compreender a relação matemática para o cálculo do volume de um cubo a partir do volume de um bloco retangular; </w:t>
            </w:r>
          </w:p>
          <w:p w14:paraId="7C28F5D5" w14:textId="126210F5" w:rsidR="0023694C" w:rsidRPr="0023694C" w:rsidRDefault="0023694C" w:rsidP="0023694C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23694C">
              <w:t>Resolver problemas relativos ao cálculo do volume de blocos retangulares.</w:t>
            </w:r>
          </w:p>
        </w:tc>
      </w:tr>
      <w:tr w:rsidR="0023694C" w14:paraId="10DDDBD4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26748381" w14:textId="77777777" w:rsidR="0023694C" w:rsidRDefault="0023694C" w:rsidP="0023694C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E5A329" w14:textId="349B3283" w:rsidR="0023694C" w:rsidRPr="0023694C" w:rsidRDefault="0023694C" w:rsidP="0023694C">
            <w:pPr>
              <w:jc w:val="both"/>
            </w:pPr>
            <w:r w:rsidRPr="0023694C">
              <w:t>Princípio de Cavaliere: cálculo do volume de um prisma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0E4AA4" w14:textId="391D2E1F" w:rsidR="0023694C" w:rsidRPr="0023694C" w:rsidRDefault="0023694C" w:rsidP="0023694C">
            <w:pPr>
              <w:pStyle w:val="PargrafodaLista"/>
              <w:numPr>
                <w:ilvl w:val="1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45" w:hanging="425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23694C">
              <w:rPr>
                <w:rFonts w:asciiTheme="minorHAnsi" w:hAnsiTheme="minorHAnsi" w:cstheme="minorHAnsi"/>
              </w:rPr>
              <w:t>Princípio de Cavalieri e a relação para o cálculo do volume de prisma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151F983" w14:textId="5AAE1D86" w:rsidR="0023694C" w:rsidRPr="0023694C" w:rsidRDefault="0023694C" w:rsidP="0023694C">
            <w:pPr>
              <w:pStyle w:val="PargrafodaLista"/>
              <w:numPr>
                <w:ilvl w:val="1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21"/>
              <w:jc w:val="both"/>
              <w:rPr>
                <w:color w:val="000000"/>
              </w:rPr>
            </w:pPr>
            <w:r w:rsidRPr="0023694C">
              <w:t>Compreender o princípio de Cavalieri para o estabelecimento da relação matemática para o cálculo do volume de um prisma reto;</w:t>
            </w:r>
          </w:p>
        </w:tc>
      </w:tr>
      <w:tr w:rsidR="0023694C" w14:paraId="0A4E7F09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2A470133" w14:textId="77777777" w:rsidR="0023694C" w:rsidRDefault="0023694C" w:rsidP="0023694C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05C950" w14:textId="76A88D5F" w:rsidR="0023694C" w:rsidRPr="0023694C" w:rsidRDefault="0023694C" w:rsidP="0023694C">
            <w:pPr>
              <w:jc w:val="both"/>
            </w:pPr>
            <w:r w:rsidRPr="0023694C">
              <w:t>Cálculo do volume de prismas: resolução de problemas - 1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08B5FD" w14:textId="3D953E95" w:rsidR="0023694C" w:rsidRPr="0023694C" w:rsidRDefault="0023694C" w:rsidP="0023694C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hAnsiTheme="minorHAnsi" w:cstheme="minorHAnsi"/>
                <w:color w:val="000000"/>
              </w:rPr>
            </w:pPr>
            <w:r w:rsidRPr="0023694C">
              <w:rPr>
                <w:rFonts w:asciiTheme="minorHAnsi" w:hAnsiTheme="minorHAnsi" w:cstheme="minorHAnsi"/>
              </w:rPr>
              <w:t>Resolução de problemas relacionados ao cálculo do volume de prismas.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73A8008" w14:textId="3F3A84EE" w:rsidR="0023694C" w:rsidRPr="0023694C" w:rsidRDefault="0023694C" w:rsidP="0023694C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21"/>
              <w:jc w:val="both"/>
              <w:rPr>
                <w:color w:val="000000"/>
              </w:rPr>
            </w:pPr>
            <w:r w:rsidRPr="0023694C">
              <w:t>Resolver problemas relacionados ao cálculo do volume de prismas.</w:t>
            </w:r>
          </w:p>
        </w:tc>
      </w:tr>
      <w:tr w:rsidR="0023694C" w14:paraId="00E07E2B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006C44BB" w14:textId="77777777" w:rsidR="0023694C" w:rsidRDefault="0023694C" w:rsidP="0023694C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955FD9" w14:textId="4DBDAFB5" w:rsidR="0023694C" w:rsidRPr="0023694C" w:rsidRDefault="0023694C" w:rsidP="0023694C">
            <w:pPr>
              <w:jc w:val="both"/>
            </w:pPr>
            <w:r w:rsidRPr="0023694C">
              <w:t>Cálculo do volume de prismas: resolução de problemas - 2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8ADE3B" w14:textId="7CABEAF7" w:rsidR="0023694C" w:rsidRPr="0023694C" w:rsidRDefault="0023694C" w:rsidP="0023694C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hAnsiTheme="minorHAnsi" w:cstheme="minorHAnsi"/>
                <w:color w:val="000000"/>
              </w:rPr>
            </w:pPr>
            <w:r w:rsidRPr="0023694C">
              <w:rPr>
                <w:rFonts w:asciiTheme="minorHAnsi" w:hAnsiTheme="minorHAnsi" w:cstheme="minorHAnsi"/>
              </w:rPr>
              <w:t>Resolução de problemas relacionados ao cálculo do volume de prismas.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77C2692" w14:textId="04346DF5" w:rsidR="0023694C" w:rsidRPr="0023694C" w:rsidRDefault="0023694C" w:rsidP="0023694C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21"/>
              <w:jc w:val="both"/>
              <w:rPr>
                <w:color w:val="000000"/>
              </w:rPr>
            </w:pPr>
            <w:r w:rsidRPr="0023694C">
              <w:t>Resolver problemas relacionados ao cálculo do volume de prismas.</w:t>
            </w:r>
          </w:p>
        </w:tc>
      </w:tr>
      <w:tr w:rsidR="0023694C" w14:paraId="28C48A6A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3F54EF5E" w14:textId="77777777" w:rsidR="0023694C" w:rsidRDefault="0023694C" w:rsidP="0023694C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6FC862" w14:textId="0E5B8266" w:rsidR="0023694C" w:rsidRPr="0023694C" w:rsidRDefault="0023694C" w:rsidP="0023694C">
            <w:pPr>
              <w:jc w:val="both"/>
            </w:pPr>
            <w:r w:rsidRPr="0023694C">
              <w:t>Cálculo do volume de prismas: resolução de problemas - 3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6737BC" w14:textId="4ED224D4" w:rsidR="0023694C" w:rsidRPr="0023694C" w:rsidRDefault="0023694C" w:rsidP="0023694C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hAnsiTheme="minorHAnsi" w:cstheme="minorHAnsi"/>
                <w:color w:val="000000"/>
              </w:rPr>
            </w:pPr>
            <w:r w:rsidRPr="0023694C">
              <w:rPr>
                <w:rFonts w:asciiTheme="minorHAnsi" w:hAnsiTheme="minorHAnsi" w:cstheme="minorHAnsi"/>
              </w:rPr>
              <w:t>Resolução de problemas relacionados ao cálculo do volume de prismas.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9D202DD" w14:textId="27F28607" w:rsidR="0023694C" w:rsidRPr="0023694C" w:rsidRDefault="0023694C" w:rsidP="0023694C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23694C">
              <w:t>Resolver problemas relacionados ao cálculo do volume de prismas.</w:t>
            </w:r>
          </w:p>
        </w:tc>
      </w:tr>
      <w:tr w:rsidR="0023694C" w14:paraId="5C4DD837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16FECBD8" w14:textId="77777777" w:rsidR="0023694C" w:rsidRDefault="0023694C" w:rsidP="0023694C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DECDF2" w14:textId="72219310" w:rsidR="0023694C" w:rsidRPr="0023694C" w:rsidRDefault="0023694C" w:rsidP="0023694C">
            <w:pPr>
              <w:jc w:val="both"/>
            </w:pPr>
            <w:r w:rsidRPr="0023694C">
              <w:t>Cálculo de áreas de um cilindro circular reto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8FAAC2" w14:textId="7CF93245" w:rsidR="0023694C" w:rsidRPr="0023694C" w:rsidRDefault="0023694C" w:rsidP="0023694C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hAnsiTheme="minorHAnsi" w:cstheme="minorHAnsi"/>
                <w:color w:val="000000"/>
              </w:rPr>
            </w:pPr>
            <w:r w:rsidRPr="0023694C">
              <w:rPr>
                <w:rFonts w:asciiTheme="minorHAnsi" w:hAnsiTheme="minorHAnsi" w:cstheme="minorHAnsi"/>
              </w:rPr>
              <w:t>Áreas laterais e totais de cilindro circular reto: estabelecimento das fórmulas e exemplos.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796B942" w14:textId="614F602C" w:rsidR="0023694C" w:rsidRPr="0023694C" w:rsidRDefault="0023694C" w:rsidP="0023694C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21"/>
              <w:jc w:val="both"/>
              <w:rPr>
                <w:color w:val="000000"/>
              </w:rPr>
            </w:pPr>
            <w:r w:rsidRPr="0023694C">
              <w:t>Compreender as relações matemática para o cálculo da área lateral e a área total de cilindro circular reto.</w:t>
            </w:r>
          </w:p>
        </w:tc>
      </w:tr>
      <w:tr w:rsidR="0023694C" w14:paraId="451674B5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316C9B82" w14:textId="77777777" w:rsidR="0023694C" w:rsidRDefault="0023694C" w:rsidP="0023694C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19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96A8CA" w14:textId="4B090BA5" w:rsidR="0023694C" w:rsidRPr="0023694C" w:rsidRDefault="0023694C" w:rsidP="0023694C">
            <w:pPr>
              <w:jc w:val="both"/>
            </w:pPr>
            <w:r w:rsidRPr="0023694C">
              <w:t>Cálculo de áreas de um cilindro equilátero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D609B3" w14:textId="38F3320C" w:rsidR="0023694C" w:rsidRPr="0023694C" w:rsidRDefault="0023694C" w:rsidP="0023694C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hAnsiTheme="minorHAnsi" w:cstheme="minorHAnsi"/>
                <w:color w:val="000000"/>
              </w:rPr>
            </w:pPr>
            <w:r w:rsidRPr="0023694C">
              <w:rPr>
                <w:rFonts w:asciiTheme="minorHAnsi" w:hAnsiTheme="minorHAnsi" w:cstheme="minorHAnsi"/>
              </w:rPr>
              <w:t>Áreas laterais e totais de cilindros circulares retos (cilindros equiláteros): estabelecimentos das fôrmas para cilindros equiláteros e exemplos.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23EFA56" w14:textId="771D8756" w:rsidR="0023694C" w:rsidRPr="0023694C" w:rsidRDefault="0023694C" w:rsidP="0023694C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23694C">
              <w:t>Compreender as relações matemáticas para o cálculo da área lateral e da área total de um cilindro circular reto.</w:t>
            </w:r>
          </w:p>
        </w:tc>
      </w:tr>
      <w:tr w:rsidR="0023694C" w14:paraId="618006A0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098817D4" w14:textId="77777777" w:rsidR="0023694C" w:rsidRDefault="0023694C" w:rsidP="0023694C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06E2DA" w14:textId="5A9654E7" w:rsidR="0023694C" w:rsidRPr="0023694C" w:rsidRDefault="0023694C" w:rsidP="0023694C">
            <w:pPr>
              <w:jc w:val="both"/>
            </w:pPr>
            <w:r w:rsidRPr="0023694C">
              <w:t>Khan/Revisão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399FEF" w14:textId="6BF4C65C" w:rsidR="0023694C" w:rsidRPr="0023694C" w:rsidRDefault="0023694C" w:rsidP="0023694C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hAnsiTheme="minorHAnsi" w:cstheme="minorHAnsi"/>
                <w:color w:val="000000"/>
              </w:rPr>
            </w:pPr>
            <w:r w:rsidRPr="0023694C">
              <w:rPr>
                <w:rFonts w:asciiTheme="minorHAnsi" w:hAnsiTheme="minorHAnsi" w:cstheme="minorHAnsi"/>
              </w:rPr>
              <w:t>Resolução de problemas de cálculo da área de um círculo.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1B96C64" w14:textId="557EEF44" w:rsidR="0023694C" w:rsidRPr="0023694C" w:rsidRDefault="0023694C" w:rsidP="0023694C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21"/>
              <w:jc w:val="both"/>
              <w:rPr>
                <w:color w:val="000000"/>
              </w:rPr>
            </w:pPr>
            <w:r w:rsidRPr="0023694C">
              <w:t>Resolver problemas de cálculo da área de um círculo.</w:t>
            </w:r>
          </w:p>
        </w:tc>
      </w:tr>
      <w:tr w:rsidR="0023694C" w14:paraId="64FFDAF6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078B2136" w14:textId="77777777" w:rsidR="0023694C" w:rsidRDefault="0023694C" w:rsidP="0023694C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85DC78" w14:textId="4E747AC7" w:rsidR="0023694C" w:rsidRPr="0023694C" w:rsidRDefault="0023694C" w:rsidP="0023694C">
            <w:pPr>
              <w:jc w:val="both"/>
            </w:pPr>
            <w:r w:rsidRPr="0023694C">
              <w:t>Cálculo de áreas de cilindros: resolução de problemas - 1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67EF37" w14:textId="219780ED" w:rsidR="0023694C" w:rsidRPr="0023694C" w:rsidRDefault="0023694C" w:rsidP="0023694C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hAnsiTheme="minorHAnsi" w:cstheme="minorHAnsi"/>
                <w:color w:val="000000"/>
              </w:rPr>
            </w:pPr>
            <w:r w:rsidRPr="0023694C">
              <w:rPr>
                <w:rFonts w:asciiTheme="minorHAnsi" w:hAnsiTheme="minorHAnsi" w:cstheme="minorHAnsi"/>
              </w:rPr>
              <w:t>Áreas laterais e totais de cilindros circulares retos: resolução de problemas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750E221" w14:textId="074C8155" w:rsidR="0023694C" w:rsidRPr="0023694C" w:rsidRDefault="0023694C" w:rsidP="0023694C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21" w:hanging="284"/>
              <w:jc w:val="both"/>
              <w:rPr>
                <w:color w:val="000000"/>
              </w:rPr>
            </w:pPr>
            <w:r w:rsidRPr="0023694C">
              <w:t>Resolver problemas referentes ao cálculo de áreas lateral e total de cilindro circular reto.</w:t>
            </w:r>
          </w:p>
        </w:tc>
      </w:tr>
      <w:tr w:rsidR="0023694C" w14:paraId="533784D6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467FFA71" w14:textId="77777777" w:rsidR="0023694C" w:rsidRDefault="0023694C" w:rsidP="0023694C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B78A2F" w14:textId="6E803A6C" w:rsidR="0023694C" w:rsidRPr="0023694C" w:rsidRDefault="0023694C" w:rsidP="0023694C">
            <w:pPr>
              <w:jc w:val="both"/>
            </w:pPr>
            <w:r w:rsidRPr="0023694C">
              <w:t>Cálculo de áreas de cilindros: resolução de problemas - 2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3CEB57" w14:textId="5E94A4F1" w:rsidR="0023694C" w:rsidRPr="0023694C" w:rsidRDefault="0023694C" w:rsidP="0023694C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hAnsiTheme="minorHAnsi" w:cstheme="minorHAnsi"/>
                <w:color w:val="000000"/>
              </w:rPr>
            </w:pPr>
            <w:r w:rsidRPr="0023694C">
              <w:rPr>
                <w:rFonts w:asciiTheme="minorHAnsi" w:hAnsiTheme="minorHAnsi" w:cstheme="minorHAnsi"/>
              </w:rPr>
              <w:t>Áreas laterais e totais de cilindros circulares retos: resolução de problemas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E1D4045" w14:textId="321DC401" w:rsidR="0023694C" w:rsidRPr="0023694C" w:rsidRDefault="0023694C" w:rsidP="0023694C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23694C">
              <w:t>Resolver problemas referentes ao cálculo de áreas lateral e total de cilindro circular reto.</w:t>
            </w:r>
          </w:p>
        </w:tc>
      </w:tr>
      <w:tr w:rsidR="0023694C" w14:paraId="7E9120A3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13EFE38E" w14:textId="77777777" w:rsidR="0023694C" w:rsidRDefault="0023694C" w:rsidP="0023694C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F981F2" w14:textId="7D79141F" w:rsidR="0023694C" w:rsidRPr="0023694C" w:rsidRDefault="0023694C" w:rsidP="0023694C">
            <w:pPr>
              <w:jc w:val="both"/>
            </w:pPr>
            <w:r w:rsidRPr="0023694C">
              <w:t>Princípio de Cavalieri e o volume de um cilindro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FB0612" w14:textId="1EC25132" w:rsidR="0023694C" w:rsidRPr="0023694C" w:rsidRDefault="0023694C" w:rsidP="0023694C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hAnsiTheme="minorHAnsi" w:cstheme="minorHAnsi"/>
                <w:color w:val="000000"/>
              </w:rPr>
            </w:pPr>
            <w:r w:rsidRPr="0023694C">
              <w:rPr>
                <w:rFonts w:asciiTheme="minorHAnsi" w:hAnsiTheme="minorHAnsi" w:cstheme="minorHAnsi"/>
              </w:rPr>
              <w:t>Princípio de Cavalieri e a relação para o cálculo do volume de cilindros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3249C69" w14:textId="6CE4A4DB" w:rsidR="0023694C" w:rsidRPr="0023694C" w:rsidRDefault="0023694C" w:rsidP="0023694C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23694C">
              <w:t>Compreender relação matemática para o cálculo do volume de um cilindro circular reto.</w:t>
            </w:r>
          </w:p>
        </w:tc>
      </w:tr>
      <w:tr w:rsidR="0023694C" w14:paraId="351D1E24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209E0BC5" w14:textId="77777777" w:rsidR="0023694C" w:rsidRDefault="0023694C" w:rsidP="0023694C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365676" w14:textId="6497D801" w:rsidR="0023694C" w:rsidRPr="0023694C" w:rsidRDefault="0023694C" w:rsidP="0023694C">
            <w:pPr>
              <w:jc w:val="both"/>
            </w:pPr>
            <w:r w:rsidRPr="0023694C">
              <w:t>Cálculo volume de cilindro equilátero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9FDB29" w14:textId="01417027" w:rsidR="0023694C" w:rsidRPr="0023694C" w:rsidRDefault="0023694C" w:rsidP="0023694C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hAnsiTheme="minorHAnsi" w:cstheme="minorHAnsi"/>
                <w:color w:val="000000"/>
              </w:rPr>
            </w:pPr>
            <w:r w:rsidRPr="0023694C">
              <w:rPr>
                <w:rFonts w:asciiTheme="minorHAnsi" w:hAnsiTheme="minorHAnsi" w:cstheme="minorHAnsi"/>
              </w:rPr>
              <w:t>Estabelecimento da relação para o cálculo do volume de cilindro equilátero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CA79C1F" w14:textId="6F17AAE6" w:rsidR="0023694C" w:rsidRPr="0023694C" w:rsidRDefault="0023694C" w:rsidP="0023694C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23694C">
              <w:t>Compreender a relação matemática para o cálculo do volume de um cilindro equilátero;</w:t>
            </w:r>
          </w:p>
        </w:tc>
      </w:tr>
      <w:tr w:rsidR="0023694C" w14:paraId="6D94BD42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391A0C7E" w14:textId="77777777" w:rsidR="0023694C" w:rsidRDefault="0023694C" w:rsidP="0023694C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5E0734" w14:textId="1E862623" w:rsidR="0023694C" w:rsidRPr="0023694C" w:rsidRDefault="0023694C" w:rsidP="0023694C">
            <w:pPr>
              <w:jc w:val="both"/>
            </w:pPr>
            <w:r w:rsidRPr="0023694C">
              <w:t>Cálculo do volume de cilindros: resolução de problemas - Parte 1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473008" w14:textId="0CFCA179" w:rsidR="0023694C" w:rsidRPr="0023694C" w:rsidRDefault="0023694C" w:rsidP="0023694C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hAnsiTheme="minorHAnsi" w:cstheme="minorHAnsi"/>
                <w:color w:val="000000"/>
              </w:rPr>
            </w:pPr>
            <w:r w:rsidRPr="0023694C">
              <w:rPr>
                <w:rFonts w:asciiTheme="minorHAnsi" w:hAnsiTheme="minorHAnsi" w:cstheme="minorHAnsi"/>
              </w:rPr>
              <w:t>Resolução de problemas relacionados ao cálculo do volume de cilindros.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F0A6A17" w14:textId="0DD8486F" w:rsidR="0023694C" w:rsidRPr="0023694C" w:rsidRDefault="0023694C" w:rsidP="0023694C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21" w:hanging="426"/>
              <w:jc w:val="both"/>
              <w:rPr>
                <w:color w:val="000000"/>
              </w:rPr>
            </w:pPr>
            <w:r w:rsidRPr="0023694C">
              <w:t>Resolver problemas relacionados ao cálculo do volume de cilindros retos.</w:t>
            </w:r>
          </w:p>
        </w:tc>
      </w:tr>
      <w:tr w:rsidR="0023694C" w14:paraId="7386EA53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7E2D830F" w14:textId="77777777" w:rsidR="0023694C" w:rsidRDefault="0023694C" w:rsidP="0023694C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09E0D8" w14:textId="7856AD68" w:rsidR="0023694C" w:rsidRPr="0023694C" w:rsidRDefault="0023694C" w:rsidP="0023694C">
            <w:pPr>
              <w:jc w:val="both"/>
            </w:pPr>
            <w:r w:rsidRPr="0023694C">
              <w:t>Cálculo do volume de cilindros: resolução de problemas - Parte 2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0384D4" w14:textId="5D097F4A" w:rsidR="0023694C" w:rsidRPr="0023694C" w:rsidRDefault="0023694C" w:rsidP="0023694C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hAnsiTheme="minorHAnsi" w:cstheme="minorHAnsi"/>
                <w:color w:val="000000"/>
              </w:rPr>
            </w:pPr>
            <w:r w:rsidRPr="0023694C">
              <w:rPr>
                <w:rFonts w:asciiTheme="minorHAnsi" w:hAnsiTheme="minorHAnsi" w:cstheme="minorHAnsi"/>
              </w:rPr>
              <w:t>Resolução de problemas relacionados ao cálculo do volume de cilindros.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B0B81FF" w14:textId="12F6F852" w:rsidR="0023694C" w:rsidRPr="0023694C" w:rsidRDefault="0023694C" w:rsidP="0023694C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21"/>
              <w:jc w:val="both"/>
              <w:rPr>
                <w:color w:val="000000"/>
              </w:rPr>
            </w:pPr>
            <w:r w:rsidRPr="0023694C">
              <w:t>Resolver problemas relacionados ao cálculo do volume de cilindros retos.</w:t>
            </w:r>
          </w:p>
        </w:tc>
      </w:tr>
      <w:tr w:rsidR="0023694C" w14:paraId="69D06CE1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19D8786D" w14:textId="77777777" w:rsidR="0023694C" w:rsidRDefault="0023694C" w:rsidP="0023694C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90B442" w14:textId="3D9F40B5" w:rsidR="0023694C" w:rsidRPr="0023694C" w:rsidRDefault="0023694C" w:rsidP="0023694C">
            <w:pPr>
              <w:jc w:val="both"/>
            </w:pPr>
            <w:r w:rsidRPr="0023694C">
              <w:t>Volumes de prismas e cilindros: resolução de problemas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600677" w14:textId="510E6DBD" w:rsidR="0023694C" w:rsidRPr="0023694C" w:rsidRDefault="0023694C" w:rsidP="0023694C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hAnsiTheme="minorHAnsi" w:cstheme="minorHAnsi"/>
                <w:color w:val="000000"/>
              </w:rPr>
            </w:pPr>
            <w:r w:rsidRPr="0023694C">
              <w:rPr>
                <w:rFonts w:asciiTheme="minorHAnsi" w:hAnsiTheme="minorHAnsi" w:cstheme="minorHAnsi"/>
              </w:rPr>
              <w:t>Resolução de problemas relacionados ao cálculo de volume de prismas regulares e cilindros circulares retos.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0E4EFCE" w14:textId="6B5D507E" w:rsidR="0023694C" w:rsidRPr="0023694C" w:rsidRDefault="0023694C" w:rsidP="0023694C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21" w:hanging="426"/>
              <w:jc w:val="both"/>
              <w:rPr>
                <w:color w:val="000000"/>
              </w:rPr>
            </w:pPr>
            <w:r w:rsidRPr="0023694C">
              <w:t>Resolver problemas relacionados ao cálculo de volume de prismas regulares e cilindros circulares retos.</w:t>
            </w:r>
          </w:p>
        </w:tc>
      </w:tr>
      <w:tr w:rsidR="0023694C" w14:paraId="014E1E68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7BEDD2AC" w14:textId="77777777" w:rsidR="0023694C" w:rsidRDefault="0023694C" w:rsidP="0023694C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B7FB1B" w14:textId="1C5868D9" w:rsidR="0023694C" w:rsidRPr="0023694C" w:rsidRDefault="0023694C" w:rsidP="0023694C">
            <w:pPr>
              <w:jc w:val="both"/>
            </w:pPr>
            <w:r w:rsidRPr="0023694C">
              <w:t>Khan/Revisão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2926EE" w14:textId="1BF0E97B" w:rsidR="0023694C" w:rsidRPr="0023694C" w:rsidRDefault="0023694C" w:rsidP="0023694C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hAnsiTheme="minorHAnsi" w:cstheme="minorHAnsi"/>
                <w:color w:val="000000"/>
              </w:rPr>
            </w:pPr>
            <w:r w:rsidRPr="0023694C">
              <w:rPr>
                <w:rFonts w:asciiTheme="minorHAnsi" w:hAnsiTheme="minorHAnsi" w:cstheme="minorHAnsi"/>
              </w:rPr>
              <w:t>Área de círculo e área de setor circular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78A33C5" w14:textId="77777777" w:rsidR="0023694C" w:rsidRPr="0023694C" w:rsidRDefault="0023694C" w:rsidP="0023694C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21"/>
              <w:jc w:val="both"/>
              <w:rPr>
                <w:color w:val="000000"/>
              </w:rPr>
            </w:pPr>
            <w:r w:rsidRPr="0023694C">
              <w:t xml:space="preserve">Resolver problemas referentes cálculo da área do círculo; </w:t>
            </w:r>
          </w:p>
          <w:p w14:paraId="33C7567F" w14:textId="195AB2CD" w:rsidR="0023694C" w:rsidRPr="0023694C" w:rsidRDefault="0023694C" w:rsidP="0023694C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21"/>
              <w:jc w:val="both"/>
              <w:rPr>
                <w:color w:val="000000"/>
              </w:rPr>
            </w:pPr>
            <w:r w:rsidRPr="0023694C">
              <w:t>Resolver problemas referentes ao cálculo da área do setor circular.</w:t>
            </w:r>
          </w:p>
        </w:tc>
      </w:tr>
      <w:tr w:rsidR="000A7935" w14:paraId="337AA2BA" w14:textId="77777777">
        <w:trPr>
          <w:trHeight w:val="220"/>
        </w:trPr>
        <w:tc>
          <w:tcPr>
            <w:tcW w:w="6394" w:type="dxa"/>
            <w:gridSpan w:val="4"/>
            <w:shd w:val="clear" w:color="auto" w:fill="94D8D0"/>
          </w:tcPr>
          <w:p w14:paraId="2CF12E36" w14:textId="77777777" w:rsidR="000A7935" w:rsidRDefault="00000000">
            <w:pPr>
              <w:rPr>
                <w:b/>
              </w:rPr>
            </w:pPr>
            <w:r>
              <w:rPr>
                <w:b/>
              </w:rPr>
              <w:t>Metodologias</w:t>
            </w:r>
          </w:p>
        </w:tc>
        <w:tc>
          <w:tcPr>
            <w:tcW w:w="4516" w:type="dxa"/>
            <w:gridSpan w:val="3"/>
            <w:shd w:val="clear" w:color="auto" w:fill="94D8D0"/>
          </w:tcPr>
          <w:p w14:paraId="3B868A76" w14:textId="77777777" w:rsidR="000A7935" w:rsidRDefault="00000000">
            <w:pPr>
              <w:rPr>
                <w:b/>
              </w:rPr>
            </w:pPr>
            <w:r>
              <w:rPr>
                <w:b/>
              </w:rPr>
              <w:t xml:space="preserve">Ambientes de Aprendizagem </w:t>
            </w:r>
          </w:p>
        </w:tc>
      </w:tr>
      <w:tr w:rsidR="000A7935" w14:paraId="22A50E7F" w14:textId="77777777">
        <w:trPr>
          <w:trHeight w:val="1300"/>
        </w:trPr>
        <w:tc>
          <w:tcPr>
            <w:tcW w:w="6394" w:type="dxa"/>
            <w:gridSpan w:val="4"/>
          </w:tcPr>
          <w:p w14:paraId="02C1913E" w14:textId="77777777" w:rsidR="000A7935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Aula expositiva dialogada;</w:t>
            </w:r>
          </w:p>
          <w:p w14:paraId="56ED9891" w14:textId="77777777" w:rsidR="000A7935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Rodas de conversa;</w:t>
            </w:r>
          </w:p>
          <w:p w14:paraId="7402D07C" w14:textId="77777777" w:rsidR="000A7935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Aprendizagem em grupo;</w:t>
            </w:r>
          </w:p>
          <w:p w14:paraId="2B0525C6" w14:textId="77777777" w:rsidR="000A7935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Aprendizagem entre pares;</w:t>
            </w:r>
          </w:p>
          <w:p w14:paraId="7F86F92A" w14:textId="77777777" w:rsidR="000A7935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Quiz (Pause e responda);</w:t>
            </w:r>
          </w:p>
          <w:p w14:paraId="4E88BBC1" w14:textId="77777777" w:rsidR="000A79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60"/>
              <w:rPr>
                <w:color w:val="000000"/>
              </w:rPr>
            </w:pPr>
            <w:r>
              <w:rPr>
                <w:color w:val="000000"/>
              </w:rPr>
              <w:t>Técnicas Lemov:</w:t>
            </w:r>
          </w:p>
          <w:p w14:paraId="6E97A7FD" w14:textId="77777777" w:rsidR="000A7935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Virem e conversem;</w:t>
            </w:r>
          </w:p>
          <w:p w14:paraId="4B147CAF" w14:textId="77777777" w:rsidR="000A7935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Todo mundo escreve;</w:t>
            </w:r>
          </w:p>
          <w:p w14:paraId="6C003571" w14:textId="77777777" w:rsidR="000A7935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Com suas palavras;</w:t>
            </w:r>
          </w:p>
          <w:p w14:paraId="5F0F1128" w14:textId="25F353F2" w:rsidR="000A7935" w:rsidRDefault="007C0E21" w:rsidP="000E174D">
            <w:pPr>
              <w:pStyle w:val="PargrafodaLista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De olho no modelo;</w:t>
            </w:r>
          </w:p>
          <w:p w14:paraId="1C648315" w14:textId="76C3991F" w:rsidR="000E174D" w:rsidRDefault="000E174D" w:rsidP="000E174D">
            <w:pPr>
              <w:pStyle w:val="PargrafodaLista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Um passo de cada vez;</w:t>
            </w:r>
          </w:p>
          <w:p w14:paraId="601214F4" w14:textId="77777777" w:rsidR="000A7935" w:rsidRDefault="000A7935">
            <w:pPr>
              <w:ind w:firstLine="105"/>
            </w:pPr>
          </w:p>
        </w:tc>
        <w:tc>
          <w:tcPr>
            <w:tcW w:w="4516" w:type="dxa"/>
            <w:gridSpan w:val="3"/>
          </w:tcPr>
          <w:p w14:paraId="30BAC449" w14:textId="77777777" w:rsidR="000A7935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Sala de aula;</w:t>
            </w:r>
          </w:p>
          <w:p w14:paraId="0808F0BA" w14:textId="77777777" w:rsidR="000A7935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 xml:space="preserve">Sala de leitura; </w:t>
            </w:r>
          </w:p>
          <w:p w14:paraId="5A07B8A1" w14:textId="77777777" w:rsidR="000A7935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Sala do Futuro;</w:t>
            </w:r>
          </w:p>
          <w:p w14:paraId="7542E701" w14:textId="77777777" w:rsidR="000A7935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  <w:r>
              <w:rPr>
                <w:color w:val="000000"/>
              </w:rPr>
              <w:t>Pátio;</w:t>
            </w:r>
          </w:p>
        </w:tc>
      </w:tr>
      <w:tr w:rsidR="000A7935" w14:paraId="2E552EF2" w14:textId="77777777">
        <w:tc>
          <w:tcPr>
            <w:tcW w:w="10910" w:type="dxa"/>
            <w:gridSpan w:val="7"/>
            <w:shd w:val="clear" w:color="auto" w:fill="94D8D0"/>
          </w:tcPr>
          <w:p w14:paraId="3129DECD" w14:textId="77777777" w:rsidR="000A7935" w:rsidRDefault="00000000">
            <w:pPr>
              <w:rPr>
                <w:b/>
              </w:rPr>
            </w:pPr>
            <w:r>
              <w:rPr>
                <w:b/>
              </w:rPr>
              <w:t>Critérios de Avaliação</w:t>
            </w:r>
          </w:p>
        </w:tc>
      </w:tr>
      <w:tr w:rsidR="000A7935" w14:paraId="5854B4C0" w14:textId="77777777">
        <w:tc>
          <w:tcPr>
            <w:tcW w:w="10910" w:type="dxa"/>
            <w:gridSpan w:val="7"/>
          </w:tcPr>
          <w:p w14:paraId="14F6D6E7" w14:textId="2AE1352B" w:rsidR="000A7935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Frequência (</w:t>
            </w:r>
            <w:r w:rsidR="001F6BF2">
              <w:t>1</w:t>
            </w:r>
            <w:r>
              <w:rPr>
                <w:color w:val="000000"/>
              </w:rPr>
              <w:t>,0 ponto);</w:t>
            </w:r>
          </w:p>
          <w:p w14:paraId="5C9F1F5A" w14:textId="3C5B3D5C" w:rsidR="000A7935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lastRenderedPageBreak/>
              <w:t>Atividades em sala de aula (</w:t>
            </w:r>
            <w:r w:rsidR="001F6BF2">
              <w:t>1</w:t>
            </w:r>
            <w:r>
              <w:rPr>
                <w:color w:val="000000"/>
              </w:rPr>
              <w:t>,0 ponto);</w:t>
            </w:r>
          </w:p>
          <w:p w14:paraId="5F82ABD1" w14:textId="77777777" w:rsidR="000A7935" w:rsidRPr="001F6BF2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Plataforma Tarefa SP (2,0 pontos);</w:t>
            </w:r>
          </w:p>
          <w:p w14:paraId="7EAAADDB" w14:textId="3564FBE6" w:rsidR="001F6BF2" w:rsidRDefault="001F6BF2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Plataforma Khan Academy (2,0 pontos);</w:t>
            </w:r>
          </w:p>
          <w:p w14:paraId="33064EE3" w14:textId="77777777" w:rsidR="000A7935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Prova Paulista (4,0 pontos);</w:t>
            </w:r>
          </w:p>
          <w:p w14:paraId="140D2BC4" w14:textId="77777777" w:rsidR="000A7935" w:rsidRDefault="000A7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  <w:rPr>
                <w:color w:val="000000"/>
              </w:rPr>
            </w:pPr>
          </w:p>
        </w:tc>
      </w:tr>
      <w:tr w:rsidR="000A7935" w14:paraId="579A7A02" w14:textId="77777777">
        <w:tc>
          <w:tcPr>
            <w:tcW w:w="10910" w:type="dxa"/>
            <w:gridSpan w:val="7"/>
            <w:shd w:val="clear" w:color="auto" w:fill="94D8D0"/>
          </w:tcPr>
          <w:p w14:paraId="44A70C95" w14:textId="77777777" w:rsidR="000A7935" w:rsidRDefault="00000000">
            <w:pPr>
              <w:rPr>
                <w:b/>
              </w:rPr>
            </w:pPr>
            <w:r>
              <w:rPr>
                <w:b/>
              </w:rPr>
              <w:lastRenderedPageBreak/>
              <w:t xml:space="preserve">Fontes de pesquisa para o estudante </w:t>
            </w:r>
          </w:p>
        </w:tc>
      </w:tr>
      <w:tr w:rsidR="000A7935" w14:paraId="565D59F5" w14:textId="77777777">
        <w:tc>
          <w:tcPr>
            <w:tcW w:w="10910" w:type="dxa"/>
            <w:gridSpan w:val="7"/>
          </w:tcPr>
          <w:p w14:paraId="5C477C50" w14:textId="77777777" w:rsidR="000A7935" w:rsidRDefault="00000000">
            <w:r>
              <w:rPr>
                <w:b/>
                <w:u w:val="single"/>
              </w:rPr>
              <w:t>CMSP WEB ou APP</w:t>
            </w:r>
            <w:r>
              <w:t xml:space="preserve">: Atividades: </w:t>
            </w:r>
            <w:hyperlink r:id="rId10">
              <w:r w:rsidR="000A7935">
                <w:rPr>
                  <w:color w:val="0563C1"/>
                  <w:u w:val="single"/>
                </w:rPr>
                <w:t>https://cmspweb.ip.tv/</w:t>
              </w:r>
            </w:hyperlink>
          </w:p>
          <w:p w14:paraId="3D78DDE2" w14:textId="77777777" w:rsidR="000A7935" w:rsidRDefault="00000000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Sites:</w:t>
            </w:r>
          </w:p>
          <w:p w14:paraId="73644753" w14:textId="77777777" w:rsidR="000E174D" w:rsidRDefault="000E174D">
            <w:pPr>
              <w:jc w:val="both"/>
            </w:pPr>
            <w:r w:rsidRPr="000E174D">
              <w:t xml:space="preserve">SÃO PAULO (Estado). Secretaria da Educação. Currículo Paulista, 2019. Disponível em: </w:t>
            </w:r>
            <w:hyperlink r:id="rId11" w:history="1">
              <w:r w:rsidRPr="00BC08E9">
                <w:rPr>
                  <w:rStyle w:val="Hyperlink"/>
                </w:rPr>
                <w:t>https://efape.educacao.sp.gov.br/curriculopaulista/wp-content/uploads/2019/09/curriculo-paulista-26-07.pdf</w:t>
              </w:r>
            </w:hyperlink>
            <w:r w:rsidRPr="000E174D">
              <w:t>.</w:t>
            </w:r>
            <w:r>
              <w:t xml:space="preserve"> </w:t>
            </w:r>
            <w:r w:rsidRPr="000E174D">
              <w:t xml:space="preserve">Acesso em: 17 jul. 2025. </w:t>
            </w:r>
          </w:p>
          <w:p w14:paraId="42EC8D03" w14:textId="77777777" w:rsidR="000E174D" w:rsidRDefault="000E174D">
            <w:pPr>
              <w:jc w:val="both"/>
            </w:pPr>
            <w:r w:rsidRPr="000E174D">
              <w:t xml:space="preserve">SÃO PAULO (Estado). Secretaria da Educação. Currículo Paulista: etapa Ensino Médio, 2020. Disponível em: </w:t>
            </w:r>
            <w:hyperlink r:id="rId12" w:history="1">
              <w:r w:rsidRPr="00BC08E9">
                <w:rPr>
                  <w:rStyle w:val="Hyperlink"/>
                </w:rPr>
                <w:t>https://efape.educacao.sp.gov.br/curriculopaulista/wp-content/uploads/2023/02/CURR%C3%8DCULO-PAULISTAetapa-Ensino-M%C3%A9dio_ISBN.pdf</w:t>
              </w:r>
            </w:hyperlink>
            <w:r w:rsidRPr="000E174D">
              <w:t>.</w:t>
            </w:r>
            <w:r>
              <w:t xml:space="preserve"> </w:t>
            </w:r>
            <w:r w:rsidRPr="000E174D">
              <w:t xml:space="preserve">Acesso em: 17 ago. 2024. </w:t>
            </w:r>
          </w:p>
          <w:p w14:paraId="10521C10" w14:textId="4406B356" w:rsidR="001F6BF2" w:rsidRDefault="0023694C">
            <w:pPr>
              <w:jc w:val="both"/>
            </w:pPr>
            <w:r w:rsidRPr="0023694C">
              <w:t xml:space="preserve">GEOGEBRA. Dodecaedro, [s.d.]a. Disponível em: </w:t>
            </w:r>
            <w:hyperlink r:id="rId13" w:history="1">
              <w:r w:rsidRPr="006F3488">
                <w:rPr>
                  <w:rStyle w:val="Hyperlink"/>
                </w:rPr>
                <w:t>https://www.geogebra.org/classic/xdmwtpps</w:t>
              </w:r>
            </w:hyperlink>
            <w:r w:rsidRPr="0023694C">
              <w:t>.</w:t>
            </w:r>
            <w:r>
              <w:t xml:space="preserve"> Acesso em</w:t>
            </w:r>
            <w:r w:rsidRPr="0023694C">
              <w:t xml:space="preserve"> 1 ago. 2025. GEOGEBRA. Pirâmide, [s.d.]b. Disponível em: </w:t>
            </w:r>
            <w:hyperlink r:id="rId14" w:history="1">
              <w:r w:rsidRPr="006F3488">
                <w:rPr>
                  <w:rStyle w:val="Hyperlink"/>
                </w:rPr>
                <w:t>https://www.geogebra.org/classic/shqj4kar</w:t>
              </w:r>
            </w:hyperlink>
            <w:r w:rsidRPr="0023694C">
              <w:t>.</w:t>
            </w:r>
            <w:r>
              <w:t xml:space="preserve"> </w:t>
            </w:r>
            <w:r w:rsidRPr="0023694C">
              <w:t>Acesso em: 1 ago. 2025</w:t>
            </w:r>
          </w:p>
          <w:p w14:paraId="2FC135B4" w14:textId="6A602131" w:rsidR="0023694C" w:rsidRDefault="0023694C">
            <w:pPr>
              <w:jc w:val="both"/>
            </w:pPr>
            <w:r w:rsidRPr="0023694C">
              <w:t xml:space="preserve">GEOGEBRA. Cubo, [s.d.]a. Disponível em: </w:t>
            </w:r>
            <w:hyperlink r:id="rId15" w:history="1">
              <w:r w:rsidRPr="006F3488">
                <w:rPr>
                  <w:rStyle w:val="Hyperlink"/>
                </w:rPr>
                <w:t>https://www.geogebra.org/calculator/ht5zvcdv</w:t>
              </w:r>
            </w:hyperlink>
            <w:r>
              <w:t xml:space="preserve"> </w:t>
            </w:r>
            <w:r w:rsidRPr="0023694C">
              <w:t xml:space="preserve">Acesso em: 21 jul. 2025. GEOGEBRA. Prisma triangular, [s.d.]b. Disponível em: </w:t>
            </w:r>
            <w:hyperlink r:id="rId16" w:history="1">
              <w:r w:rsidRPr="006F3488">
                <w:rPr>
                  <w:rStyle w:val="Hyperlink"/>
                </w:rPr>
                <w:t>https://www.geogebra.org/calculator/a6dphjjp</w:t>
              </w:r>
            </w:hyperlink>
            <w:r>
              <w:t xml:space="preserve"> </w:t>
            </w:r>
            <w:r w:rsidRPr="0023694C">
              <w:t xml:space="preserve">Acesso em: 21 jul. 2025. GEOGEBRA. Tronco de pirâmide, [s.d.]c. Disponível em: </w:t>
            </w:r>
            <w:hyperlink r:id="rId17" w:history="1">
              <w:r w:rsidRPr="006F3488">
                <w:rPr>
                  <w:rStyle w:val="Hyperlink"/>
                </w:rPr>
                <w:t>https://www.geogebra.org/calculator/xkgjp4qs</w:t>
              </w:r>
            </w:hyperlink>
            <w:r>
              <w:t xml:space="preserve"> </w:t>
            </w:r>
            <w:r w:rsidRPr="0023694C">
              <w:t>Acesso em: 21 jul. 2025.</w:t>
            </w:r>
          </w:p>
          <w:p w14:paraId="0EF3EB9B" w14:textId="220783CE" w:rsidR="0023694C" w:rsidRDefault="0023694C">
            <w:pPr>
              <w:jc w:val="both"/>
            </w:pPr>
            <w:r w:rsidRPr="0023694C">
              <w:t xml:space="preserve">APOLO. O paradoxo das embalagens de papelão: entre a sustentabilidade e o desperdício, [s.d.]. Disponível em: </w:t>
            </w:r>
            <w:hyperlink r:id="rId18" w:history="1">
              <w:r w:rsidRPr="006F3488">
                <w:rPr>
                  <w:rStyle w:val="Hyperlink"/>
                </w:rPr>
                <w:t>https://www.apolo.com.br/artigos/o-paradoxo-das-embalagens-de-papelao-entre-asustentabilidade-e-o-desperdicio</w:t>
              </w:r>
            </w:hyperlink>
            <w:r w:rsidRPr="0023694C">
              <w:t>.</w:t>
            </w:r>
            <w:r>
              <w:t xml:space="preserve"> </w:t>
            </w:r>
            <w:r w:rsidRPr="0023694C">
              <w:t>Acesso em: 1 ago. 2025.</w:t>
            </w:r>
          </w:p>
          <w:p w14:paraId="0ECCD7F8" w14:textId="77777777" w:rsidR="001F6BF2" w:rsidRDefault="0023694C">
            <w:pPr>
              <w:jc w:val="both"/>
            </w:pPr>
            <w:r w:rsidRPr="0023694C">
              <w:t xml:space="preserve">PORTAL DA MATEMÁTICA OBMEP. Princípio de Cavalieri – Aula 17. Disponível em: </w:t>
            </w:r>
            <w:hyperlink r:id="rId19" w:history="1">
              <w:r w:rsidR="001D05FC" w:rsidRPr="006F3488">
                <w:rPr>
                  <w:rStyle w:val="Hyperlink"/>
                </w:rPr>
                <w:t>https://youtu.be/wQpi2ZfrITw</w:t>
              </w:r>
            </w:hyperlink>
            <w:r w:rsidR="001D05FC">
              <w:t xml:space="preserve"> </w:t>
            </w:r>
            <w:r w:rsidRPr="0023694C">
              <w:t>Acesso em: 1 ago. 2025.</w:t>
            </w:r>
          </w:p>
          <w:p w14:paraId="77DBFD47" w14:textId="77777777" w:rsidR="001D05FC" w:rsidRDefault="001D05FC">
            <w:pPr>
              <w:jc w:val="both"/>
            </w:pPr>
            <w:r w:rsidRPr="001D05FC">
              <w:t xml:space="preserve">IN MATH. 116 - Volume de Sólidos. Disponível em: </w:t>
            </w:r>
            <w:hyperlink r:id="rId20" w:history="1">
              <w:r w:rsidRPr="006F3488">
                <w:rPr>
                  <w:rStyle w:val="Hyperlink"/>
                </w:rPr>
                <w:t>https://www.youtube.com/shorts/ZD4cuM6Hag8</w:t>
              </w:r>
            </w:hyperlink>
            <w:r>
              <w:t xml:space="preserve"> </w:t>
            </w:r>
            <w:r w:rsidRPr="001D05FC">
              <w:t>Acesso em: 1 ago. 2025</w:t>
            </w:r>
          </w:p>
          <w:p w14:paraId="6F52CBB2" w14:textId="40FAB56E" w:rsidR="001D05FC" w:rsidRDefault="001D05FC">
            <w:pPr>
              <w:jc w:val="both"/>
            </w:pPr>
          </w:p>
        </w:tc>
      </w:tr>
    </w:tbl>
    <w:p w14:paraId="5650F43A" w14:textId="77777777" w:rsidR="000A7935" w:rsidRDefault="000A7935">
      <w:pPr>
        <w:spacing w:after="0"/>
        <w:rPr>
          <w:b/>
          <w:sz w:val="28"/>
          <w:szCs w:val="28"/>
        </w:rPr>
      </w:pPr>
    </w:p>
    <w:sectPr w:rsidR="000A7935">
      <w:headerReference w:type="default" r:id="rId21"/>
      <w:pgSz w:w="11906" w:h="16838"/>
      <w:pgMar w:top="155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BA1DC5" w14:textId="77777777" w:rsidR="00726773" w:rsidRDefault="00726773">
      <w:pPr>
        <w:spacing w:after="0" w:line="240" w:lineRule="auto"/>
      </w:pPr>
      <w:r>
        <w:separator/>
      </w:r>
    </w:p>
  </w:endnote>
  <w:endnote w:type="continuationSeparator" w:id="0">
    <w:p w14:paraId="574ABBD0" w14:textId="77777777" w:rsidR="00726773" w:rsidRDefault="007267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D9A00B23-861B-48F8-8DB9-F22DF85AF83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1E648E92-4BBF-4C00-BA27-CFE2E8A98965}"/>
    <w:embedBold r:id="rId3" w:fontKey="{73D89E1E-D16A-4F14-9FA4-AFB8E5052542}"/>
    <w:embedItalic r:id="rId4" w:fontKey="{572763AF-FE76-4C9E-9F43-8ECECB87CC6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F6A7D209-A56F-4690-9C5B-0FBFADD01C60}"/>
    <w:embedItalic r:id="rId6" w:fontKey="{FB1B12B2-3C0E-49E8-B7BF-33FE2B36B603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EE6DDDEA-F1B7-4BF1-B1E5-A8C1BCF1BB79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74E63" w14:textId="77777777" w:rsidR="00726773" w:rsidRDefault="00726773">
      <w:pPr>
        <w:spacing w:after="0" w:line="240" w:lineRule="auto"/>
      </w:pPr>
      <w:r>
        <w:separator/>
      </w:r>
    </w:p>
  </w:footnote>
  <w:footnote w:type="continuationSeparator" w:id="0">
    <w:p w14:paraId="443AB568" w14:textId="77777777" w:rsidR="00726773" w:rsidRDefault="007267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6F72F" w14:textId="77777777" w:rsidR="000A793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1A534AE6" wp14:editId="086D12F4">
              <wp:simplePos x="0" y="0"/>
              <wp:positionH relativeFrom="column">
                <wp:posOffset>-466722</wp:posOffset>
              </wp:positionH>
              <wp:positionV relativeFrom="paragraph">
                <wp:posOffset>-85029</wp:posOffset>
              </wp:positionV>
              <wp:extent cx="7576185" cy="551930"/>
              <wp:effectExtent l="0" t="0" r="0" b="0"/>
              <wp:wrapNone/>
              <wp:docPr id="1604936284" name="Retângulo 160493628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7433" y="3513560"/>
                        <a:ext cx="7557135" cy="532880"/>
                      </a:xfrm>
                      <a:prstGeom prst="rect">
                        <a:avLst/>
                      </a:prstGeom>
                      <a:solidFill>
                        <a:srgbClr val="009F99"/>
                      </a:solidFill>
                      <a:ln>
                        <a:noFill/>
                      </a:ln>
                    </wps:spPr>
                    <wps:txbx>
                      <w:txbxContent>
                        <w:p w14:paraId="6254B29A" w14:textId="77777777" w:rsidR="000A7935" w:rsidRDefault="000A7935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A534AE6" id="Retângulo 1604936284" o:spid="_x0000_s1027" style="position:absolute;margin-left:-36.75pt;margin-top:-6.7pt;width:596.55pt;height:43.4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" fillcolor="#009f99" stroked="f">
              <v:textbox inset="2.53958mm,2.53958mm,2.53958mm,2.53958mm">
                <w:txbxContent>
                  <w:p w14:paraId="6254B29A" w14:textId="77777777" w:rsidR="000A7935" w:rsidRDefault="000A7935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5B7CD35C" wp14:editId="5EC55D84">
              <wp:simplePos x="0" y="0"/>
              <wp:positionH relativeFrom="column">
                <wp:posOffset>-1124814</wp:posOffset>
              </wp:positionH>
              <wp:positionV relativeFrom="paragraph">
                <wp:posOffset>-459103</wp:posOffset>
              </wp:positionV>
              <wp:extent cx="3441123" cy="642505"/>
              <wp:effectExtent l="0" t="0" r="0" b="0"/>
              <wp:wrapNone/>
              <wp:docPr id="1604936287" name="Fluxograma: Dados 160493628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3634964" y="3468273"/>
                        <a:ext cx="3422073" cy="623455"/>
                      </a:xfrm>
                      <a:prstGeom prst="flowChartInputOutput">
                        <a:avLst/>
                      </a:prstGeom>
                      <a:solidFill>
                        <a:srgbClr val="94D8D0"/>
                      </a:solidFill>
                      <a:ln>
                        <a:noFill/>
                      </a:ln>
                    </wps:spPr>
                    <wps:txbx>
                      <w:txbxContent>
                        <w:p w14:paraId="5860B3E5" w14:textId="77777777" w:rsidR="000A7935" w:rsidRDefault="000A7935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7CD35C" id="_x0000_t111" coordsize="21600,21600" o:spt="111" path="m4321,l21600,,17204,21600,,21600xe">
              <v:stroke joinstyle="miter"/>
              <v:path gradientshapeok="t" o:connecttype="custom" o:connectlocs="12961,0;10800,0;2161,10800;8602,21600;10800,21600;19402,10800" textboxrect="4321,0,17204,21600"/>
            </v:shapetype>
            <v:shape id="Fluxograma: Dados 1604936287" o:spid="_x0000_s1028" type="#_x0000_t111" style="position:absolute;margin-left:-88.55pt;margin-top:-36.15pt;width:270.95pt;height:50.6pt;rotation:18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" fillcolor="#94d8d0" stroked="f">
              <v:textbox inset="2.53958mm,2.53958mm,2.53958mm,2.53958mm">
                <w:txbxContent>
                  <w:p w14:paraId="5860B3E5" w14:textId="77777777" w:rsidR="000A7935" w:rsidRDefault="000A7935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54A17CC6" wp14:editId="523CA061">
              <wp:simplePos x="0" y="0"/>
              <wp:positionH relativeFrom="column">
                <wp:posOffset>1887913</wp:posOffset>
              </wp:positionH>
              <wp:positionV relativeFrom="paragraph">
                <wp:posOffset>-436877</wp:posOffset>
              </wp:positionV>
              <wp:extent cx="642505" cy="372341"/>
              <wp:effectExtent l="0" t="0" r="0" b="0"/>
              <wp:wrapNone/>
              <wp:docPr id="1604936286" name="Triângulo isósceles 160493628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034273" y="3603355"/>
                        <a:ext cx="623455" cy="353291"/>
                      </a:xfrm>
                      <a:prstGeom prst="triangle">
                        <a:avLst>
                          <a:gd name="adj" fmla="val 60592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14:paraId="51EDDFD6" w14:textId="77777777" w:rsidR="000A7935" w:rsidRDefault="000A7935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A17CC6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Triângulo isósceles 1604936286" o:spid="_x0000_s1029" type="#_x0000_t5" style="position:absolute;margin-left:148.65pt;margin-top:-34.4pt;width:50.6pt;height:29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" adj="13088" fillcolor="black [3200]" stroked="f">
              <v:textbox inset="2.53958mm,2.53958mm,2.53958mm,2.53958mm">
                <w:txbxContent>
                  <w:p w14:paraId="51EDDFD6" w14:textId="77777777" w:rsidR="000A7935" w:rsidRDefault="000A7935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7AE18B04" wp14:editId="399F1A3B">
          <wp:simplePos x="0" y="0"/>
          <wp:positionH relativeFrom="column">
            <wp:posOffset>5742305</wp:posOffset>
          </wp:positionH>
          <wp:positionV relativeFrom="paragraph">
            <wp:posOffset>-428680</wp:posOffset>
          </wp:positionV>
          <wp:extent cx="942109" cy="561109"/>
          <wp:effectExtent l="0" t="0" r="0" b="0"/>
          <wp:wrapNone/>
          <wp:docPr id="160493628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r="58503"/>
                  <a:stretch>
                    <a:fillRect/>
                  </a:stretch>
                </pic:blipFill>
                <pic:spPr>
                  <a:xfrm>
                    <a:off x="0" y="0"/>
                    <a:ext cx="942109" cy="56110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672A9"/>
    <w:multiLevelType w:val="multilevel"/>
    <w:tmpl w:val="376699A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51D502F"/>
    <w:multiLevelType w:val="multilevel"/>
    <w:tmpl w:val="42A879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51F1512"/>
    <w:multiLevelType w:val="multilevel"/>
    <w:tmpl w:val="FD32059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9693ECA"/>
    <w:multiLevelType w:val="multilevel"/>
    <w:tmpl w:val="0F4AF5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BC93F2B"/>
    <w:multiLevelType w:val="multilevel"/>
    <w:tmpl w:val="1D88684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3170ED2"/>
    <w:multiLevelType w:val="multilevel"/>
    <w:tmpl w:val="7708F9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4EE1E0C"/>
    <w:multiLevelType w:val="multilevel"/>
    <w:tmpl w:val="B406CC1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88E28A2"/>
    <w:multiLevelType w:val="multilevel"/>
    <w:tmpl w:val="125C99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6071FC0"/>
    <w:multiLevelType w:val="multilevel"/>
    <w:tmpl w:val="9B48BBB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280330CE"/>
    <w:multiLevelType w:val="multilevel"/>
    <w:tmpl w:val="088EB4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5925879"/>
    <w:multiLevelType w:val="multilevel"/>
    <w:tmpl w:val="C192972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8457506"/>
    <w:multiLevelType w:val="multilevel"/>
    <w:tmpl w:val="7652A83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55572B28"/>
    <w:multiLevelType w:val="multilevel"/>
    <w:tmpl w:val="CD1AEA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55AA17E0"/>
    <w:multiLevelType w:val="multilevel"/>
    <w:tmpl w:val="4EF6A4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2AD5BA8"/>
    <w:multiLevelType w:val="hybridMultilevel"/>
    <w:tmpl w:val="0140728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1A2545"/>
    <w:multiLevelType w:val="multilevel"/>
    <w:tmpl w:val="DFB6C83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6BE74350"/>
    <w:multiLevelType w:val="hybridMultilevel"/>
    <w:tmpl w:val="27AAE99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3E91489"/>
    <w:multiLevelType w:val="multilevel"/>
    <w:tmpl w:val="040A75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78D01010"/>
    <w:multiLevelType w:val="multilevel"/>
    <w:tmpl w:val="F410AA4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7B3C1254"/>
    <w:multiLevelType w:val="hybridMultilevel"/>
    <w:tmpl w:val="9F40F2CA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14646225">
    <w:abstractNumId w:val="1"/>
  </w:num>
  <w:num w:numId="2" w16cid:durableId="1611430375">
    <w:abstractNumId w:val="12"/>
  </w:num>
  <w:num w:numId="3" w16cid:durableId="1373849332">
    <w:abstractNumId w:val="3"/>
  </w:num>
  <w:num w:numId="4" w16cid:durableId="995187402">
    <w:abstractNumId w:val="13"/>
  </w:num>
  <w:num w:numId="5" w16cid:durableId="997808145">
    <w:abstractNumId w:val="11"/>
  </w:num>
  <w:num w:numId="6" w16cid:durableId="1478379026">
    <w:abstractNumId w:val="10"/>
  </w:num>
  <w:num w:numId="7" w16cid:durableId="986283065">
    <w:abstractNumId w:val="4"/>
  </w:num>
  <w:num w:numId="8" w16cid:durableId="1557545224">
    <w:abstractNumId w:val="7"/>
  </w:num>
  <w:num w:numId="9" w16cid:durableId="929386709">
    <w:abstractNumId w:val="5"/>
  </w:num>
  <w:num w:numId="10" w16cid:durableId="1213537854">
    <w:abstractNumId w:val="15"/>
  </w:num>
  <w:num w:numId="11" w16cid:durableId="1767925797">
    <w:abstractNumId w:val="17"/>
  </w:num>
  <w:num w:numId="12" w16cid:durableId="177356336">
    <w:abstractNumId w:val="9"/>
  </w:num>
  <w:num w:numId="13" w16cid:durableId="348027504">
    <w:abstractNumId w:val="6"/>
  </w:num>
  <w:num w:numId="14" w16cid:durableId="1163665499">
    <w:abstractNumId w:val="0"/>
  </w:num>
  <w:num w:numId="15" w16cid:durableId="1276868606">
    <w:abstractNumId w:val="8"/>
  </w:num>
  <w:num w:numId="16" w16cid:durableId="1117530996">
    <w:abstractNumId w:val="2"/>
  </w:num>
  <w:num w:numId="17" w16cid:durableId="722413243">
    <w:abstractNumId w:val="18"/>
  </w:num>
  <w:num w:numId="18" w16cid:durableId="2089572416">
    <w:abstractNumId w:val="14"/>
  </w:num>
  <w:num w:numId="19" w16cid:durableId="2101561218">
    <w:abstractNumId w:val="19"/>
  </w:num>
  <w:num w:numId="20" w16cid:durableId="10789470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935"/>
    <w:rsid w:val="000304D3"/>
    <w:rsid w:val="000A7935"/>
    <w:rsid w:val="000E174D"/>
    <w:rsid w:val="001D05FC"/>
    <w:rsid w:val="001F6BF2"/>
    <w:rsid w:val="0023694C"/>
    <w:rsid w:val="00726773"/>
    <w:rsid w:val="007C0E21"/>
    <w:rsid w:val="009C7C25"/>
    <w:rsid w:val="00D37E41"/>
    <w:rsid w:val="00DB6F64"/>
    <w:rsid w:val="00F11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BF1D1"/>
  <w15:docId w15:val="{1B3FD51F-95F8-43A9-AAE2-85031A01B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styleId="Tabelacomgrade">
    <w:name w:val="Table Grid"/>
    <w:basedOn w:val="Tabelanormal"/>
    <w:uiPriority w:val="39"/>
    <w:rsid w:val="005E2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471FC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471F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A3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3430"/>
  </w:style>
  <w:style w:type="paragraph" w:styleId="Rodap">
    <w:name w:val="footer"/>
    <w:basedOn w:val="Normal"/>
    <w:link w:val="RodapChar"/>
    <w:uiPriority w:val="99"/>
    <w:unhideWhenUsed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3430"/>
  </w:style>
  <w:style w:type="character" w:styleId="HiperlinkVisitado">
    <w:name w:val="FollowedHyperlink"/>
    <w:basedOn w:val="Fontepargpadro"/>
    <w:uiPriority w:val="99"/>
    <w:semiHidden/>
    <w:unhideWhenUsed/>
    <w:rsid w:val="00A93893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C612AA"/>
    <w:pPr>
      <w:ind w:left="720"/>
      <w:contextualSpacing/>
    </w:p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0E17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geogebra.org/classic/xdmwtpps" TargetMode="External"/><Relationship Id="rId18" Type="http://schemas.openxmlformats.org/officeDocument/2006/relationships/hyperlink" Target="https://www.apolo.com.br/artigos/o-paradoxo-das-embalagens-de-papelao-entre-asustentabilidade-e-o-desperdicio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efape.educacao.sp.gov.br/curriculopaulista/wp-content/uploads/2023/02/CURR%C3%8DCULO-PAULISTAetapa-Ensino-M%C3%A9dio_ISBN.pdf" TargetMode="External"/><Relationship Id="rId17" Type="http://schemas.openxmlformats.org/officeDocument/2006/relationships/hyperlink" Target="https://www.geogebra.org/calculator/xkgjp4q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eogebra.org/calculator/a6dphjjp" TargetMode="External"/><Relationship Id="rId20" Type="http://schemas.openxmlformats.org/officeDocument/2006/relationships/hyperlink" Target="https://www.youtube.com/shorts/ZD4cuM6Hag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fape.educacao.sp.gov.br/curriculopaulista/wp-content/uploads/2019/09/curriculo-paulista-26-07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eogebra.org/calculator/ht5zvcdv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cmspweb.ip.tv/" TargetMode="External"/><Relationship Id="rId19" Type="http://schemas.openxmlformats.org/officeDocument/2006/relationships/hyperlink" Target="https://youtu.be/wQpi2ZfrITw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geogebra.org/classic/shqj4kar" TargetMode="External"/><Relationship Id="rId22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074nhP8qcSD/bInE2H54VAT+n4w==">CgMxLjAyDmguM3duN2c4MnRtdXY4OAByITFEbjlod2gwVHU2SEd0cnY2eTJYN25RbnRDejJmTS12Nw==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1649</Words>
  <Characters>8906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Emanoela Gonçalves Ramos</dc:creator>
  <cp:lastModifiedBy>Ana</cp:lastModifiedBy>
  <cp:revision>3</cp:revision>
  <dcterms:created xsi:type="dcterms:W3CDTF">2025-06-27T14:20:00Z</dcterms:created>
  <dcterms:modified xsi:type="dcterms:W3CDTF">2025-09-20T01:23:00Z</dcterms:modified>
</cp:coreProperties>
</file>