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B628" w14:textId="6F65A27E" w:rsidR="00CC10A4" w:rsidRDefault="000C45B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F7541C" wp14:editId="5E820567">
                <wp:simplePos x="0" y="0"/>
                <wp:positionH relativeFrom="column">
                  <wp:posOffset>5748655</wp:posOffset>
                </wp:positionH>
                <wp:positionV relativeFrom="paragraph">
                  <wp:posOffset>55880</wp:posOffset>
                </wp:positionV>
                <wp:extent cx="1184275" cy="586740"/>
                <wp:effectExtent l="0" t="0" r="15875" b="22860"/>
                <wp:wrapNone/>
                <wp:docPr id="1604936284" name="Retângulo 1604936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58674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766B2" w14:textId="77777777" w:rsidR="00CC10A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541C" id="Retângulo 1604936284" o:spid="_x0000_s1026" style="position:absolute;left:0;text-align:left;margin-left:452.65pt;margin-top:4.4pt;width:93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57766B2" w14:textId="77777777" w:rsidR="00CC10A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b/>
          <w:sz w:val="28"/>
          <w:szCs w:val="28"/>
        </w:rPr>
        <w:t>GUIA DE APRENDIZAGEM</w:t>
      </w:r>
      <w:r w:rsidR="00000000">
        <w:rPr>
          <w:noProof/>
        </w:rPr>
        <w:drawing>
          <wp:anchor distT="0" distB="0" distL="114300" distR="114300" simplePos="0" relativeHeight="251658240" behindDoc="0" locked="0" layoutInCell="1" hidden="0" allowOverlap="1" wp14:anchorId="5E69DD2B" wp14:editId="590A47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9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0288" behindDoc="0" locked="0" layoutInCell="1" hidden="0" allowOverlap="1" wp14:anchorId="19F81BA9" wp14:editId="5E49D4E5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D305F4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C98514A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hyperlink r:id="rId10">
        <w:r>
          <w:rPr>
            <w:b/>
            <w:color w:val="1155CC"/>
            <w:sz w:val="28"/>
            <w:szCs w:val="28"/>
            <w:u w:val="single"/>
          </w:rPr>
          <w:t>www.professorjonathan.com</w:t>
        </w:r>
      </w:hyperlink>
      <w:r>
        <w:rPr>
          <w:b/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CC10A4" w14:paraId="54131663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4A7329D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05" w:type="dxa"/>
            <w:gridSpan w:val="3"/>
            <w:shd w:val="clear" w:color="auto" w:fill="94D8D0"/>
          </w:tcPr>
          <w:p w14:paraId="3F1A2D5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6A4B7BC9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CD8CBE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C10A4" w14:paraId="7FD4E22C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  <w:vAlign w:val="center"/>
          </w:tcPr>
          <w:p w14:paraId="7B4EBA17" w14:textId="77777777" w:rsidR="00CC10A4" w:rsidRDefault="00CC10A4">
            <w:pPr>
              <w:rPr>
                <w:b/>
              </w:rPr>
            </w:pPr>
          </w:p>
        </w:tc>
        <w:tc>
          <w:tcPr>
            <w:tcW w:w="4405" w:type="dxa"/>
            <w:gridSpan w:val="3"/>
            <w:shd w:val="clear" w:color="auto" w:fill="FFFFFF"/>
            <w:vAlign w:val="center"/>
          </w:tcPr>
          <w:p w14:paraId="1645F44D" w14:textId="77777777" w:rsidR="00CC10A4" w:rsidRDefault="00000000">
            <w:r>
              <w:t>Práticas Experimentais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B9EFD6" w14:textId="77777777" w:rsidR="00CC10A4" w:rsidRDefault="00000000">
            <w:pPr>
              <w:jc w:val="center"/>
            </w:pPr>
            <w:r>
              <w:t>6º Ano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32B19F" w14:textId="13C949DA" w:rsidR="00CC10A4" w:rsidRDefault="000C45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00000">
              <w:rPr>
                <w:b/>
              </w:rPr>
              <w:t>º Bimestre</w:t>
            </w:r>
          </w:p>
        </w:tc>
      </w:tr>
      <w:tr w:rsidR="00CC10A4" w14:paraId="7E4C296E" w14:textId="77777777">
        <w:tc>
          <w:tcPr>
            <w:tcW w:w="10910" w:type="dxa"/>
            <w:gridSpan w:val="7"/>
            <w:shd w:val="clear" w:color="auto" w:fill="94D8D0"/>
          </w:tcPr>
          <w:p w14:paraId="24F5A1C8" w14:textId="77777777" w:rsidR="00CC10A4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C10A4" w14:paraId="4D769A48" w14:textId="77777777">
        <w:trPr>
          <w:trHeight w:val="999"/>
        </w:trPr>
        <w:tc>
          <w:tcPr>
            <w:tcW w:w="10910" w:type="dxa"/>
            <w:gridSpan w:val="7"/>
            <w:vAlign w:val="center"/>
          </w:tcPr>
          <w:p w14:paraId="4ADE4E81" w14:textId="77777777" w:rsidR="00CC10A4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Práticas Experimentais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C10A4" w14:paraId="3D5EC2B7" w14:textId="77777777">
        <w:tc>
          <w:tcPr>
            <w:tcW w:w="10910" w:type="dxa"/>
            <w:gridSpan w:val="7"/>
            <w:shd w:val="clear" w:color="auto" w:fill="94D8D0"/>
          </w:tcPr>
          <w:p w14:paraId="5A0999D1" w14:textId="77777777" w:rsidR="00CC10A4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C10A4" w14:paraId="52ED5BEC" w14:textId="77777777">
        <w:trPr>
          <w:trHeight w:val="1408"/>
        </w:trPr>
        <w:tc>
          <w:tcPr>
            <w:tcW w:w="10910" w:type="dxa"/>
            <w:gridSpan w:val="7"/>
            <w:vAlign w:val="center"/>
          </w:tcPr>
          <w:p w14:paraId="7760AD82" w14:textId="1492DDF8" w:rsidR="00CC10A4" w:rsidRDefault="000C45BB">
            <w:pPr>
              <w:jc w:val="both"/>
              <w:rPr>
                <w:color w:val="000000"/>
              </w:rPr>
            </w:pPr>
            <w:r>
              <w:t>Como identificamos as cores</w:t>
            </w:r>
            <w:r w:rsidR="00000000">
              <w:t xml:space="preserve">? </w:t>
            </w:r>
            <w:r>
              <w:t>Qual é a relação entre a audição e o sistema nervoso</w:t>
            </w:r>
            <w:r w:rsidR="00000000">
              <w:t xml:space="preserve">? </w:t>
            </w:r>
            <w:r>
              <w:t>Como perceberíamos o mundo se não tivéssemos visão</w:t>
            </w:r>
            <w:r w:rsidR="00000000">
              <w:t xml:space="preserve">? </w:t>
            </w:r>
            <w:r w:rsidR="00000000">
              <w:rPr>
                <w:color w:val="000000"/>
              </w:rPr>
              <w:t>Neste bimestre, dentro do Componente de Práticas Experimentais, você e sua turma serão desafiados a investig</w:t>
            </w:r>
            <w:r w:rsidR="00000000">
              <w:t xml:space="preserve">ar o mundo </w:t>
            </w:r>
            <w:r>
              <w:t>dos sentidos humanos</w:t>
            </w:r>
            <w:r w:rsidR="00000000">
              <w:rPr>
                <w:color w:val="000000"/>
              </w:rPr>
              <w:t xml:space="preserve">. Do mesmo modo, através de atividades práticas e dinâmicas, juntos vocês poderão </w:t>
            </w:r>
            <w:r w:rsidR="00000000">
              <w:t xml:space="preserve">reconhecer a importância da </w:t>
            </w:r>
            <w:r>
              <w:t xml:space="preserve"> </w:t>
            </w:r>
            <w:r w:rsidRPr="000C45BB">
              <w:t>acessibilidade de pessoas com deficiência visual.</w:t>
            </w:r>
            <w:r w:rsidR="00000000">
              <w:rPr>
                <w:color w:val="000000"/>
              </w:rPr>
              <w:t xml:space="preserve"> Boas práticas!</w:t>
            </w:r>
          </w:p>
        </w:tc>
      </w:tr>
      <w:tr w:rsidR="00CC10A4" w14:paraId="7FF4AF58" w14:textId="77777777">
        <w:tc>
          <w:tcPr>
            <w:tcW w:w="3114" w:type="dxa"/>
            <w:gridSpan w:val="3"/>
            <w:shd w:val="clear" w:color="auto" w:fill="94D8D0"/>
          </w:tcPr>
          <w:p w14:paraId="76EC44C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61174A2D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859011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CC10A4" w14:paraId="7E8C908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F7B4A2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vAlign w:val="center"/>
          </w:tcPr>
          <w:p w14:paraId="01D999D3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1:</w:t>
            </w:r>
          </w:p>
          <w:p w14:paraId="13EEE781" w14:textId="3EFAF615" w:rsidR="00CC10A4" w:rsidRDefault="000C45BB">
            <w:r>
              <w:t>Luz e cor</w:t>
            </w:r>
          </w:p>
        </w:tc>
        <w:tc>
          <w:tcPr>
            <w:tcW w:w="3280" w:type="dxa"/>
            <w:vAlign w:val="center"/>
          </w:tcPr>
          <w:p w14:paraId="67E4FBE9" w14:textId="77777777" w:rsidR="000C45BB" w:rsidRPr="000C45BB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>Conceito de luz e de cor;</w:t>
            </w:r>
          </w:p>
          <w:p w14:paraId="4F340E04" w14:textId="0EDA4DBD" w:rsidR="00CC10A4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>Formação das cores a partir de diferentes tipos de luz.</w:t>
            </w:r>
          </w:p>
        </w:tc>
        <w:tc>
          <w:tcPr>
            <w:tcW w:w="4516" w:type="dxa"/>
            <w:gridSpan w:val="3"/>
            <w:vAlign w:val="center"/>
          </w:tcPr>
          <w:p w14:paraId="1B0A8B3E" w14:textId="02E4C53D" w:rsidR="00CC10A4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>Investigar a composição das cores por meio da sobreposição de luzes coloridas.</w:t>
            </w:r>
          </w:p>
        </w:tc>
      </w:tr>
      <w:tr w:rsidR="00CC10A4" w14:paraId="4898A96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19278EA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1B35A76A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2:</w:t>
            </w:r>
          </w:p>
          <w:p w14:paraId="74645177" w14:textId="5764F3E0" w:rsidR="00CC10A4" w:rsidRDefault="000C45BB">
            <w:r w:rsidRPr="000C45BB">
              <w:t>Audição e equilíbrio</w:t>
            </w:r>
          </w:p>
        </w:tc>
        <w:tc>
          <w:tcPr>
            <w:tcW w:w="3280" w:type="dxa"/>
            <w:vAlign w:val="center"/>
          </w:tcPr>
          <w:p w14:paraId="690C9ED4" w14:textId="5D2C2E4D" w:rsidR="00CC10A4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>Integração entre sistema auditivo, equilíbrio e sistema nervoso.</w:t>
            </w:r>
          </w:p>
        </w:tc>
        <w:tc>
          <w:tcPr>
            <w:tcW w:w="4516" w:type="dxa"/>
            <w:gridSpan w:val="3"/>
            <w:vAlign w:val="center"/>
          </w:tcPr>
          <w:p w14:paraId="24360CE0" w14:textId="709071F5" w:rsidR="00CC10A4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>Correlacionar o sistema auditivo com nossa percepção de equilíbrio.</w:t>
            </w:r>
          </w:p>
        </w:tc>
      </w:tr>
      <w:tr w:rsidR="00CC10A4" w14:paraId="5DEB6F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A74E20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646CF192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3:</w:t>
            </w:r>
          </w:p>
          <w:p w14:paraId="427C66F9" w14:textId="32441BF2" w:rsidR="00CC10A4" w:rsidRDefault="000C45BB">
            <w:r>
              <w:t>Tato</w:t>
            </w:r>
          </w:p>
        </w:tc>
        <w:tc>
          <w:tcPr>
            <w:tcW w:w="3280" w:type="dxa"/>
            <w:vAlign w:val="center"/>
          </w:tcPr>
          <w:p w14:paraId="39873EBE" w14:textId="0E80BBD9" w:rsidR="00CC10A4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>Tato e acessibilidade.</w:t>
            </w:r>
          </w:p>
        </w:tc>
        <w:tc>
          <w:tcPr>
            <w:tcW w:w="4516" w:type="dxa"/>
            <w:gridSpan w:val="3"/>
            <w:vAlign w:val="center"/>
          </w:tcPr>
          <w:p w14:paraId="3C53763B" w14:textId="77777777" w:rsidR="000C45BB" w:rsidRPr="000C45BB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 xml:space="preserve">Experenciar a situação de mobilidade com visão reduzida; </w:t>
            </w:r>
          </w:p>
          <w:p w14:paraId="24800DD5" w14:textId="77777777" w:rsidR="000C45BB" w:rsidRPr="000C45BB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 xml:space="preserve">Recriar pinturas com modelos táteis; </w:t>
            </w:r>
          </w:p>
          <w:p w14:paraId="147EC22A" w14:textId="59080A4D" w:rsidR="00CC10A4" w:rsidRDefault="000C45B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0C45BB">
              <w:t>Refletir sobre o sistema tátil e a sua importância para a acessibilidade de pessoas com deficiência visual.</w:t>
            </w:r>
          </w:p>
        </w:tc>
      </w:tr>
      <w:tr w:rsidR="00CC10A4" w14:paraId="4EE55D51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13A686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8E8327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C10A4" w14:paraId="5218492E" w14:textId="77777777">
        <w:trPr>
          <w:trHeight w:val="1300"/>
        </w:trPr>
        <w:tc>
          <w:tcPr>
            <w:tcW w:w="6394" w:type="dxa"/>
            <w:gridSpan w:val="4"/>
          </w:tcPr>
          <w:p w14:paraId="5039D4F3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baseada em projeto;</w:t>
            </w:r>
          </w:p>
          <w:p w14:paraId="55AB5707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9367ED6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AACA2AC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Autoavaliação;</w:t>
            </w:r>
          </w:p>
          <w:p w14:paraId="3BE96C8A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bordo;</w:t>
            </w:r>
          </w:p>
          <w:p w14:paraId="04F5ABA0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516" w:type="dxa"/>
            <w:gridSpan w:val="3"/>
          </w:tcPr>
          <w:p w14:paraId="5FC5C328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0DCD1EA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6DC590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841110E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Laboratório;</w:t>
            </w:r>
          </w:p>
          <w:p w14:paraId="73384E14" w14:textId="77777777" w:rsidR="00CC10A4" w:rsidRDefault="00CC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</w:tr>
      <w:tr w:rsidR="00CC10A4" w14:paraId="397849E5" w14:textId="77777777">
        <w:tc>
          <w:tcPr>
            <w:tcW w:w="10910" w:type="dxa"/>
            <w:gridSpan w:val="7"/>
            <w:shd w:val="clear" w:color="auto" w:fill="94D8D0"/>
          </w:tcPr>
          <w:p w14:paraId="08BC438E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C10A4" w14:paraId="7159312A" w14:textId="77777777">
        <w:trPr>
          <w:trHeight w:val="1331"/>
        </w:trPr>
        <w:tc>
          <w:tcPr>
            <w:tcW w:w="10910" w:type="dxa"/>
            <w:gridSpan w:val="7"/>
            <w:vAlign w:val="center"/>
          </w:tcPr>
          <w:p w14:paraId="56B7AF94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(2,0 pontos);</w:t>
            </w:r>
          </w:p>
          <w:p w14:paraId="5FD7B55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(2,0 pontos);</w:t>
            </w:r>
          </w:p>
          <w:p w14:paraId="71552FCF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6C180A8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Práticas Experimentais (4,0 pontos);</w:t>
            </w:r>
          </w:p>
        </w:tc>
      </w:tr>
      <w:tr w:rsidR="00CC10A4" w14:paraId="3104EBD4" w14:textId="77777777">
        <w:tc>
          <w:tcPr>
            <w:tcW w:w="10910" w:type="dxa"/>
            <w:gridSpan w:val="7"/>
            <w:shd w:val="clear" w:color="auto" w:fill="94D8D0"/>
          </w:tcPr>
          <w:p w14:paraId="05BFFAC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CC10A4" w14:paraId="06DFEBB2" w14:textId="77777777">
        <w:trPr>
          <w:trHeight w:val="718"/>
        </w:trPr>
        <w:tc>
          <w:tcPr>
            <w:tcW w:w="10910" w:type="dxa"/>
            <w:gridSpan w:val="7"/>
          </w:tcPr>
          <w:p w14:paraId="24D7F2B1" w14:textId="77777777" w:rsidR="00CC10A4" w:rsidRDefault="00CC10A4">
            <w:pPr>
              <w:rPr>
                <w:b/>
                <w:u w:val="single"/>
              </w:rPr>
            </w:pPr>
          </w:p>
          <w:p w14:paraId="0B863F81" w14:textId="77777777" w:rsidR="00CC10A4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83EEB1D" w14:textId="77777777" w:rsidR="00CC10A4" w:rsidRDefault="00000000">
            <w:r>
              <w:rPr>
                <w:b/>
                <w:u w:val="single"/>
              </w:rPr>
              <w:t xml:space="preserve">Sites: </w:t>
            </w:r>
            <w:r>
              <w:t xml:space="preserve"> </w:t>
            </w:r>
          </w:p>
          <w:p w14:paraId="5360A3ED" w14:textId="77777777" w:rsidR="00CC10A4" w:rsidRDefault="000C4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0C45BB">
              <w:t xml:space="preserve">ROCHA, J. C. Cor luz, cor pigmento e os sistemas RGB e CMY. Revista Belas Artes, v. 3, n. 2, 2010. Disponível em: </w:t>
            </w:r>
            <w:hyperlink r:id="rId12" w:history="1">
              <w:r w:rsidRPr="003474A6">
                <w:rPr>
                  <w:rStyle w:val="Hyperlink"/>
                </w:rPr>
                <w:t>https://revistas.belasartes.br/revistabelasartes/article/view/195</w:t>
              </w:r>
            </w:hyperlink>
            <w:r>
              <w:t xml:space="preserve"> </w:t>
            </w:r>
            <w:r w:rsidRPr="000C45BB">
              <w:t>Acesso em: 11 abr. 2025.</w:t>
            </w:r>
          </w:p>
          <w:p w14:paraId="1A13DBB2" w14:textId="1A5991F7" w:rsidR="000C45BB" w:rsidRDefault="000C4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0C45BB">
              <w:lastRenderedPageBreak/>
              <w:t xml:space="preserve">BRUNA, M. H. V. Labirintite. Drauzio Varella, 29 set. 2023. Disponível em: </w:t>
            </w:r>
            <w:hyperlink r:id="rId13" w:history="1">
              <w:r w:rsidRPr="003474A6">
                <w:rPr>
                  <w:rStyle w:val="Hyperlink"/>
                </w:rPr>
                <w:t>https://drauziovarella.uol.com.br/doencas-e-sintomas/labirintite/</w:t>
              </w:r>
            </w:hyperlink>
            <w:r>
              <w:t xml:space="preserve"> </w:t>
            </w:r>
            <w:r w:rsidRPr="000C45BB">
              <w:t>Acesso em: 7 abr. 2025.</w:t>
            </w:r>
          </w:p>
        </w:tc>
      </w:tr>
    </w:tbl>
    <w:p w14:paraId="5761CFB3" w14:textId="77777777" w:rsidR="00CC10A4" w:rsidRDefault="00CC10A4">
      <w:pPr>
        <w:spacing w:after="0"/>
        <w:rPr>
          <w:b/>
          <w:sz w:val="28"/>
          <w:szCs w:val="28"/>
        </w:rPr>
      </w:pPr>
    </w:p>
    <w:sectPr w:rsidR="00CC10A4">
      <w:headerReference w:type="default" r:id="rId14"/>
      <w:footerReference w:type="default" r:id="rId15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1CC73" w14:textId="77777777" w:rsidR="001307CE" w:rsidRDefault="001307CE">
      <w:pPr>
        <w:spacing w:after="0" w:line="240" w:lineRule="auto"/>
      </w:pPr>
      <w:r>
        <w:separator/>
      </w:r>
    </w:p>
  </w:endnote>
  <w:endnote w:type="continuationSeparator" w:id="0">
    <w:p w14:paraId="3C61C450" w14:textId="77777777" w:rsidR="001307CE" w:rsidRDefault="0013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A7E3" w14:textId="77777777" w:rsidR="00CC10A4" w:rsidRDefault="00CC1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E24AD" w14:textId="77777777" w:rsidR="001307CE" w:rsidRDefault="001307CE">
      <w:pPr>
        <w:spacing w:after="0" w:line="240" w:lineRule="auto"/>
      </w:pPr>
      <w:r>
        <w:separator/>
      </w:r>
    </w:p>
  </w:footnote>
  <w:footnote w:type="continuationSeparator" w:id="0">
    <w:p w14:paraId="7B50EF73" w14:textId="77777777" w:rsidR="001307CE" w:rsidRDefault="0013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1AEE" w14:textId="77777777" w:rsidR="00CC10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146451" wp14:editId="125967E5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5" name="Retângulo 1604936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E7C2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146451" id="Retângulo 1604936285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94AE7C2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F38866" wp14:editId="3BC45A1E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C1F90D" wp14:editId="0A7C64DB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3C7BFC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F90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083C7BFC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135E638" wp14:editId="6BCDE92D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9DD9C4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5E63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B9DD9C4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73A97"/>
    <w:multiLevelType w:val="multilevel"/>
    <w:tmpl w:val="01B86E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C53EEF"/>
    <w:multiLevelType w:val="multilevel"/>
    <w:tmpl w:val="149C1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0368E4"/>
    <w:multiLevelType w:val="multilevel"/>
    <w:tmpl w:val="846C8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D24542"/>
    <w:multiLevelType w:val="multilevel"/>
    <w:tmpl w:val="5FA00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D9494D"/>
    <w:multiLevelType w:val="multilevel"/>
    <w:tmpl w:val="C2B4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8821353">
    <w:abstractNumId w:val="0"/>
  </w:num>
  <w:num w:numId="2" w16cid:durableId="67383525">
    <w:abstractNumId w:val="3"/>
  </w:num>
  <w:num w:numId="3" w16cid:durableId="2033725494">
    <w:abstractNumId w:val="2"/>
  </w:num>
  <w:num w:numId="4" w16cid:durableId="1471168483">
    <w:abstractNumId w:val="1"/>
  </w:num>
  <w:num w:numId="5" w16cid:durableId="664552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4"/>
    <w:rsid w:val="000C45BB"/>
    <w:rsid w:val="001307CE"/>
    <w:rsid w:val="00CC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50F7"/>
  <w15:docId w15:val="{7C62D5CD-5DA8-4D91-A10F-D69848B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rauziovarella.uol.com.br/doencas-e-sintomas/labirinti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vistas.belasartes.br/revistabelasartes/article/view/1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UKuP4gsQ9Aq1jc0nri8n4iGcA==">CgMxLjA4AHIhMXdEbW5oZzB5aUdSM3BocnVHcmZBVjJnZHB1NzdNNl81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2</cp:revision>
  <dcterms:created xsi:type="dcterms:W3CDTF">2025-10-05T11:32:00Z</dcterms:created>
  <dcterms:modified xsi:type="dcterms:W3CDTF">2025-10-05T11:32:00Z</dcterms:modified>
</cp:coreProperties>
</file>