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5D8C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31BBDC" wp14:editId="6D00DC2F">
                <wp:simplePos x="0" y="0"/>
                <wp:positionH relativeFrom="column">
                  <wp:posOffset>5905500</wp:posOffset>
                </wp:positionH>
                <wp:positionV relativeFrom="paragraph">
                  <wp:posOffset>-25399</wp:posOffset>
                </wp:positionV>
                <wp:extent cx="932815" cy="831550"/>
                <wp:effectExtent l="0" t="0" r="0" b="0"/>
                <wp:wrapNone/>
                <wp:docPr id="1604936348" name="Retângulo 16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E115" w14:textId="77777777" w:rsidR="005D52EF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BBDC" id="Retângulo 1604936348" o:spid="_x0000_s1026" style="position:absolute;left:0;text-align:left;margin-left:465pt;margin-top:-2pt;width:73.45pt;height:6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459E115" w14:textId="77777777" w:rsidR="005D52EF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0BDB41" wp14:editId="42E720E8">
            <wp:simplePos x="0" y="0"/>
            <wp:positionH relativeFrom="column">
              <wp:posOffset>-160007</wp:posOffset>
            </wp:positionH>
            <wp:positionV relativeFrom="paragraph">
              <wp:posOffset>-974</wp:posOffset>
            </wp:positionV>
            <wp:extent cx="1221616" cy="681355"/>
            <wp:effectExtent l="0" t="0" r="0" b="0"/>
            <wp:wrapNone/>
            <wp:docPr id="160493635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E64B62" wp14:editId="18E6C60C">
            <wp:simplePos x="0" y="0"/>
            <wp:positionH relativeFrom="column">
              <wp:posOffset>-766804</wp:posOffset>
            </wp:positionH>
            <wp:positionV relativeFrom="paragraph">
              <wp:posOffset>-984237</wp:posOffset>
            </wp:positionV>
            <wp:extent cx="2216989" cy="894877"/>
            <wp:effectExtent l="0" t="0" r="0" b="0"/>
            <wp:wrapNone/>
            <wp:docPr id="1604936353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3869E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74D05587" w14:textId="77777777" w:rsidR="005D52EF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9"/>
        <w:tblpPr w:leftFromText="141" w:rightFromText="141" w:vertAnchor="page" w:horzAnchor="margin" w:tblpX="-289" w:tblpY="2692"/>
        <w:tblW w:w="11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65"/>
        <w:gridCol w:w="285"/>
        <w:gridCol w:w="3420"/>
        <w:gridCol w:w="825"/>
        <w:gridCol w:w="2130"/>
        <w:gridCol w:w="1425"/>
      </w:tblGrid>
      <w:tr w:rsidR="005D52EF" w14:paraId="78AB1822" w14:textId="77777777">
        <w:trPr>
          <w:trHeight w:val="269"/>
        </w:trPr>
        <w:tc>
          <w:tcPr>
            <w:tcW w:w="3255" w:type="dxa"/>
            <w:gridSpan w:val="3"/>
            <w:shd w:val="clear" w:color="auto" w:fill="94D8D0"/>
          </w:tcPr>
          <w:p w14:paraId="776E1F3D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5" w:type="dxa"/>
            <w:gridSpan w:val="2"/>
            <w:shd w:val="clear" w:color="auto" w:fill="94D8D0"/>
          </w:tcPr>
          <w:p w14:paraId="56B16976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30" w:type="dxa"/>
            <w:shd w:val="clear" w:color="auto" w:fill="94D8D0"/>
          </w:tcPr>
          <w:p w14:paraId="6F27A8E9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25" w:type="dxa"/>
            <w:shd w:val="clear" w:color="auto" w:fill="94D8D0"/>
          </w:tcPr>
          <w:p w14:paraId="5F87D2B3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D52EF" w14:paraId="61C63364" w14:textId="77777777">
        <w:trPr>
          <w:trHeight w:val="414"/>
        </w:trPr>
        <w:tc>
          <w:tcPr>
            <w:tcW w:w="3255" w:type="dxa"/>
            <w:gridSpan w:val="3"/>
            <w:shd w:val="clear" w:color="auto" w:fill="FFFFFF"/>
            <w:vAlign w:val="center"/>
          </w:tcPr>
          <w:p w14:paraId="56C9BAE6" w14:textId="77777777" w:rsidR="005D52EF" w:rsidRDefault="00000000">
            <w:r>
              <w:t>Prof. Jonathan Pessoa</w:t>
            </w:r>
          </w:p>
        </w:tc>
        <w:tc>
          <w:tcPr>
            <w:tcW w:w="4245" w:type="dxa"/>
            <w:gridSpan w:val="2"/>
            <w:shd w:val="clear" w:color="auto" w:fill="FFFFFF"/>
            <w:vAlign w:val="center"/>
          </w:tcPr>
          <w:p w14:paraId="1413EEC9" w14:textId="77777777" w:rsidR="005D52EF" w:rsidRDefault="00000000">
            <w:r>
              <w:t>Orientação de Estudo de Matemática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BBC57B4" w14:textId="016BD92B" w:rsidR="005D52EF" w:rsidRDefault="006110E9">
            <w:pPr>
              <w:jc w:val="center"/>
            </w:pPr>
            <w:r>
              <w:t>7º ANO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37D878E" w14:textId="1DFBA58A" w:rsidR="005D52EF" w:rsidRDefault="00EC44EF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D52EF" w14:paraId="3F215F4A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0BAE773F" w14:textId="77777777" w:rsidR="005D52EF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5D52EF" w14:paraId="138CAC01" w14:textId="77777777">
        <w:trPr>
          <w:trHeight w:val="853"/>
        </w:trPr>
        <w:tc>
          <w:tcPr>
            <w:tcW w:w="11055" w:type="dxa"/>
            <w:gridSpan w:val="7"/>
          </w:tcPr>
          <w:p w14:paraId="7E516495" w14:textId="77777777" w:rsidR="005D52EF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5D52EF" w14:paraId="6370BD41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16AF7037" w14:textId="77777777" w:rsidR="005D52E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D52EF" w14:paraId="1FCD282D" w14:textId="77777777">
        <w:trPr>
          <w:trHeight w:val="1548"/>
        </w:trPr>
        <w:tc>
          <w:tcPr>
            <w:tcW w:w="11055" w:type="dxa"/>
            <w:gridSpan w:val="7"/>
            <w:vAlign w:val="center"/>
          </w:tcPr>
          <w:p w14:paraId="77194731" w14:textId="2B3E6A01" w:rsidR="005D52EF" w:rsidRDefault="00EC44EF">
            <w:pPr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A escolha e aplicação de métodos de estudo adequados são fundamentais para o sucesso ao longo da vida acadêmica. Por esse motivo, dentro do Componente de Orientação de Estudos, ao explorar e experimentar diferentes técnicas, você poderá desenvolver autonomia, melhorar o desempenho e aprender a aprender de forma mais eficiente e prazerosa. Lembre-se que o método ideal é aquele que se adapta às suas necessidades e preferências, permitindo que você alcance seu pleno potencial</w:t>
            </w:r>
            <w:r>
              <w:rPr>
                <w:color w:val="000000"/>
              </w:rPr>
              <w:t>. Bons estudos!</w:t>
            </w:r>
          </w:p>
        </w:tc>
      </w:tr>
      <w:tr w:rsidR="005D52EF" w14:paraId="61DD55F9" w14:textId="77777777">
        <w:trPr>
          <w:trHeight w:val="220"/>
        </w:trPr>
        <w:tc>
          <w:tcPr>
            <w:tcW w:w="2970" w:type="dxa"/>
            <w:gridSpan w:val="2"/>
            <w:shd w:val="clear" w:color="auto" w:fill="94D8D0"/>
          </w:tcPr>
          <w:p w14:paraId="1C8B06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705" w:type="dxa"/>
            <w:gridSpan w:val="2"/>
            <w:shd w:val="clear" w:color="auto" w:fill="94D8D0"/>
          </w:tcPr>
          <w:p w14:paraId="1C76501E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380" w:type="dxa"/>
            <w:gridSpan w:val="3"/>
            <w:shd w:val="clear" w:color="auto" w:fill="94D8D0"/>
          </w:tcPr>
          <w:p w14:paraId="01EC509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5D52EF" w14:paraId="1D6AA38B" w14:textId="77777777">
        <w:trPr>
          <w:trHeight w:val="674"/>
        </w:trPr>
        <w:tc>
          <w:tcPr>
            <w:tcW w:w="705" w:type="dxa"/>
            <w:shd w:val="clear" w:color="auto" w:fill="FDD3DA"/>
            <w:vAlign w:val="center"/>
          </w:tcPr>
          <w:p w14:paraId="0338217B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92502" w14:textId="77777777" w:rsidR="005D52EF" w:rsidRDefault="00000000">
            <w:pPr>
              <w:jc w:val="center"/>
            </w:pPr>
            <w:r>
              <w:t>Avaliação Diagnóstica</w:t>
            </w:r>
          </w:p>
          <w:p w14:paraId="2BBD6F7C" w14:textId="77777777" w:rsidR="005D52EF" w:rsidRDefault="00000000">
            <w:pPr>
              <w:jc w:val="center"/>
            </w:pPr>
            <w:r>
              <w:t>Bimestral de Nivelamento</w:t>
            </w:r>
          </w:p>
        </w:tc>
      </w:tr>
      <w:tr w:rsidR="005D52EF" w14:paraId="61164F0C" w14:textId="77777777">
        <w:trPr>
          <w:trHeight w:val="1862"/>
        </w:trPr>
        <w:tc>
          <w:tcPr>
            <w:tcW w:w="705" w:type="dxa"/>
            <w:shd w:val="clear" w:color="auto" w:fill="FDD3DA"/>
            <w:vAlign w:val="center"/>
          </w:tcPr>
          <w:p w14:paraId="1F10C78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D962" w14:textId="17D48638" w:rsidR="005D52EF" w:rsidRDefault="006110E9">
            <w:r w:rsidRPr="006110E9">
              <w:t>Diário matemático – Parte 1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7AEB" w14:textId="25948AE1" w:rsidR="005D52EF" w:rsidRDefault="006110E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rPr>
                <w:color w:val="000000"/>
              </w:rPr>
            </w:pPr>
            <w:r w:rsidRPr="006110E9">
              <w:rPr>
                <w:color w:val="000000"/>
              </w:rPr>
              <w:t>Incentivar o uso do diário como ferramenta de revisão e planejamento de estudos.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3595" w14:textId="3E90A72B" w:rsidR="005D52EF" w:rsidRDefault="006110E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rPr>
                <w:color w:val="000000"/>
              </w:rPr>
            </w:pPr>
            <w:r w:rsidRPr="006110E9">
              <w:rPr>
                <w:color w:val="000000"/>
              </w:rPr>
              <w:t>Estratégia de reflexão e registro da própria aprendizagem em um diário matemático.</w:t>
            </w:r>
          </w:p>
        </w:tc>
      </w:tr>
      <w:tr w:rsidR="006110E9" w14:paraId="23037A75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2FE368DC" w14:textId="77777777" w:rsidR="006110E9" w:rsidRDefault="006110E9" w:rsidP="006110E9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902C" w14:textId="65C31256" w:rsidR="006110E9" w:rsidRDefault="006110E9" w:rsidP="006110E9">
            <w:r w:rsidRPr="006110E9">
              <w:t>Diário matemático – Parte 2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B010" w14:textId="2CD97ACB" w:rsidR="006110E9" w:rsidRDefault="006110E9" w:rsidP="006110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jc w:val="both"/>
              <w:rPr>
                <w:color w:val="000000"/>
              </w:rPr>
            </w:pPr>
            <w:r w:rsidRPr="006110E9">
              <w:rPr>
                <w:color w:val="000000"/>
              </w:rPr>
              <w:t>Incentivar o uso do diário como ferramenta de revisão e planejamento de estudos.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A44BF9" w14:textId="2E488CB9" w:rsidR="006110E9" w:rsidRDefault="006110E9" w:rsidP="006110E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6110E9">
              <w:rPr>
                <w:color w:val="000000"/>
              </w:rPr>
              <w:t>Estratégia de reflexão e registro da própria aprendizagem em um diário matemático.</w:t>
            </w:r>
          </w:p>
        </w:tc>
      </w:tr>
      <w:tr w:rsidR="005D52EF" w14:paraId="69FA19F0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577D9CAA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0E83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C696884" w14:textId="55C55580" w:rsidR="005D52EF" w:rsidRDefault="006110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5"/>
              <w:jc w:val="both"/>
              <w:rPr>
                <w:color w:val="000000"/>
              </w:rPr>
            </w:pPr>
            <w:r w:rsidRPr="006110E9">
              <w:rPr>
                <w:color w:val="000000"/>
              </w:rPr>
              <w:t>300 - Determinam como certa a probabilidade de lançar um dado convencional e obter como resultado um número menor do que 7.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B813E" w14:textId="5A208113" w:rsidR="005D52EF" w:rsidRDefault="006110E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6110E9">
              <w:t>(EF06MA30) Calcular a probabilidade de um evento aleatório, expressando-a por número racional (forma fracionária, decimal e percentual) e comparar esse número com a probabilidade obtida por meio de experimentos sucessivos.</w:t>
            </w:r>
          </w:p>
        </w:tc>
      </w:tr>
      <w:tr w:rsidR="005D52EF" w14:paraId="66AC14C8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3AC1F4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3E7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D416D0" w14:textId="21EA8D71" w:rsidR="005D52EF" w:rsidRDefault="006110E9">
            <w:pPr>
              <w:numPr>
                <w:ilvl w:val="0"/>
                <w:numId w:val="10"/>
              </w:numPr>
              <w:spacing w:after="160" w:line="259" w:lineRule="auto"/>
              <w:ind w:left="566"/>
              <w:jc w:val="both"/>
            </w:pPr>
            <w:r w:rsidRPr="006110E9">
              <w:t>300 - Determinam como certa a probabilidade de lançar um dado convencional e obter como resultado um número menor do que 7.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17DB" w14:textId="1A8C2F07" w:rsidR="005D52EF" w:rsidRDefault="006110E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6110E9">
              <w:t>(EF06MA30) Calcular a probabilidade de um evento aleatório, expressando-a por número racional (forma fracionária, decimal e percentual) e comparar esse número com a probabilidade obtida por meio de experimentos sucessivos.</w:t>
            </w:r>
          </w:p>
        </w:tc>
      </w:tr>
      <w:tr w:rsidR="005D52EF" w14:paraId="39A0413C" w14:textId="77777777">
        <w:trPr>
          <w:trHeight w:val="1270"/>
        </w:trPr>
        <w:tc>
          <w:tcPr>
            <w:tcW w:w="705" w:type="dxa"/>
            <w:shd w:val="clear" w:color="auto" w:fill="FDD3DA"/>
            <w:vAlign w:val="center"/>
          </w:tcPr>
          <w:p w14:paraId="72A62FE5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4BF7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3D73299" w14:textId="04394F9E" w:rsidR="005D52EF" w:rsidRDefault="006110E9">
            <w:pPr>
              <w:numPr>
                <w:ilvl w:val="0"/>
                <w:numId w:val="10"/>
              </w:numPr>
              <w:spacing w:after="160" w:line="259" w:lineRule="auto"/>
              <w:ind w:left="425" w:hanging="283"/>
              <w:jc w:val="both"/>
            </w:pPr>
            <w:r w:rsidRPr="006110E9">
              <w:t>175 - Identificam o número de ângulos internos de polígonos apresentados em figuras.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CF8C4" w14:textId="5115DD4D" w:rsidR="005D52EF" w:rsidRDefault="006110E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6110E9">
              <w:t xml:space="preserve">(EF07MA27) Calcular medidas de ângulos internos de polígonos regulares, sem o uso  de fórmulas, e estabelecer relações entre ângulos </w:t>
            </w:r>
            <w:r w:rsidRPr="006110E9">
              <w:lastRenderedPageBreak/>
              <w:t>internos e externos de polígonos,  preferencialmente vinculadas à construção de mosaicos e de ladrilhamentos.</w:t>
            </w:r>
          </w:p>
        </w:tc>
      </w:tr>
      <w:tr w:rsidR="005D52EF" w14:paraId="267BEAEE" w14:textId="77777777">
        <w:trPr>
          <w:trHeight w:val="1965"/>
        </w:trPr>
        <w:tc>
          <w:tcPr>
            <w:tcW w:w="705" w:type="dxa"/>
            <w:shd w:val="clear" w:color="auto" w:fill="FDD3DA"/>
            <w:vAlign w:val="center"/>
          </w:tcPr>
          <w:p w14:paraId="53F35FF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S7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0695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CA4E08" w14:textId="692A38AD" w:rsidR="005D52EF" w:rsidRDefault="006110E9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6110E9">
              <w:t>175 - Identificam o número de ângulos internos de polígonos apresentados em figuras.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062D1" w14:textId="76F0CC2F" w:rsidR="005D52EF" w:rsidRDefault="006110E9">
            <w:pPr>
              <w:numPr>
                <w:ilvl w:val="0"/>
                <w:numId w:val="1"/>
              </w:numPr>
              <w:ind w:right="147"/>
              <w:jc w:val="both"/>
            </w:pPr>
            <w:r w:rsidRPr="006110E9">
              <w:t>(EF07MA27) Calcular medidas de ângulos internos de polígonos regulares, sem o uso  de fórmulas, e estabelecer relações entre ângulos internos e externos de polígonos,  preferencialmente vinculadas à construção de mosaicos e de ladrilhamentos.</w:t>
            </w:r>
          </w:p>
        </w:tc>
      </w:tr>
      <w:tr w:rsidR="005D52EF" w14:paraId="46D0E6D0" w14:textId="77777777">
        <w:trPr>
          <w:trHeight w:val="2010"/>
        </w:trPr>
        <w:tc>
          <w:tcPr>
            <w:tcW w:w="705" w:type="dxa"/>
            <w:shd w:val="clear" w:color="auto" w:fill="FDD3DA"/>
            <w:vAlign w:val="center"/>
          </w:tcPr>
          <w:p w14:paraId="7AF081BA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B188" w14:textId="77777777" w:rsidR="005D52EF" w:rsidRDefault="00000000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809D13" w14:textId="6569AE9A" w:rsidR="005D52EF" w:rsidRDefault="006110E9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6110E9">
              <w:t>175 - Identificam o número de ângulos internos de polígonos apresentados em figuras.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6C6AF" w14:textId="034FB192" w:rsidR="005D52EF" w:rsidRDefault="006110E9">
            <w:pPr>
              <w:numPr>
                <w:ilvl w:val="0"/>
                <w:numId w:val="7"/>
              </w:numPr>
              <w:ind w:right="147"/>
              <w:jc w:val="both"/>
            </w:pPr>
            <w:r w:rsidRPr="006110E9">
              <w:t>(EF07MA27) Calcular medidas de ângulos internos de polígonos regulares, sem o uso  de fórmulas, e estabelecer relações entre ângulos internos e externos de polígonos,  preferencialmente vinculadas à construção de mosaicos e de ladrilhamentos.</w:t>
            </w:r>
          </w:p>
        </w:tc>
      </w:tr>
      <w:tr w:rsidR="005D52EF" w14:paraId="10E7DAB1" w14:textId="77777777">
        <w:trPr>
          <w:trHeight w:val="220"/>
        </w:trPr>
        <w:tc>
          <w:tcPr>
            <w:tcW w:w="6675" w:type="dxa"/>
            <w:gridSpan w:val="4"/>
            <w:shd w:val="clear" w:color="auto" w:fill="94D8D0"/>
          </w:tcPr>
          <w:p w14:paraId="57339F17" w14:textId="77777777" w:rsidR="005D52EF" w:rsidRDefault="005D52EF">
            <w:pPr>
              <w:rPr>
                <w:b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</w:tcBorders>
            <w:shd w:val="clear" w:color="auto" w:fill="94D8D0"/>
          </w:tcPr>
          <w:p w14:paraId="726B13EA" w14:textId="77777777" w:rsidR="005D52EF" w:rsidRDefault="005D52EF">
            <w:pPr>
              <w:rPr>
                <w:b/>
              </w:rPr>
            </w:pPr>
          </w:p>
        </w:tc>
      </w:tr>
      <w:tr w:rsidR="005D52EF" w14:paraId="51A63E4D" w14:textId="77777777">
        <w:trPr>
          <w:trHeight w:val="1692"/>
        </w:trPr>
        <w:tc>
          <w:tcPr>
            <w:tcW w:w="6675" w:type="dxa"/>
            <w:gridSpan w:val="4"/>
          </w:tcPr>
          <w:p w14:paraId="29BD7452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6424343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5BF43EA7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4414859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6256453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22AAAB92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Enturmação;</w:t>
            </w:r>
          </w:p>
          <w:p w14:paraId="0884D04A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6A376EF6" w14:textId="77777777" w:rsidR="005D52E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Lemov: </w:t>
            </w:r>
          </w:p>
          <w:p w14:paraId="6BA8C987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45482B0A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CA8072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5527724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80B98" w14:textId="77777777" w:rsidR="005D52EF" w:rsidRDefault="00000000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7DC1C572" w14:textId="77777777" w:rsidR="005D52EF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4380" w:type="dxa"/>
            <w:gridSpan w:val="3"/>
          </w:tcPr>
          <w:p w14:paraId="0DC09097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F77B32B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2148F2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DF83AF6" w14:textId="77777777" w:rsidR="005D52EF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6FAE169" w14:textId="77777777" w:rsidR="005D52EF" w:rsidRDefault="005D52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5D52EF" w14:paraId="2EC996E9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1B102E9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5D52EF" w14:paraId="53EB28AB" w14:textId="77777777">
        <w:trPr>
          <w:trHeight w:val="1292"/>
        </w:trPr>
        <w:tc>
          <w:tcPr>
            <w:tcW w:w="11055" w:type="dxa"/>
            <w:gridSpan w:val="7"/>
            <w:vAlign w:val="center"/>
          </w:tcPr>
          <w:p w14:paraId="06AF42A3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0C9C2077" w14:textId="63EF1B94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</w:t>
            </w:r>
            <w:r w:rsidR="008C31C6">
              <w:rPr>
                <w:color w:val="000000"/>
              </w:rPr>
              <w:t>Matific</w:t>
            </w:r>
            <w:r>
              <w:rPr>
                <w:color w:val="000000"/>
              </w:rPr>
              <w:t xml:space="preserve"> (2,5 pontos);</w:t>
            </w:r>
          </w:p>
          <w:p w14:paraId="5C962003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0657086E" w14:textId="77777777" w:rsidR="005D52E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5D52EF" w14:paraId="098AC6AB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F84179C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5D52EF" w14:paraId="672ADD46" w14:textId="77777777">
        <w:trPr>
          <w:trHeight w:val="220"/>
        </w:trPr>
        <w:tc>
          <w:tcPr>
            <w:tcW w:w="11055" w:type="dxa"/>
            <w:gridSpan w:val="7"/>
          </w:tcPr>
          <w:p w14:paraId="2BF43F80" w14:textId="77777777" w:rsidR="005D52EF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434DFE0" w14:textId="77777777" w:rsidR="005D52EF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5F445E9" w14:textId="46ACCAD7" w:rsidR="005D52EF" w:rsidRPr="008B4797" w:rsidRDefault="00000000" w:rsidP="008B47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https://efape.educacao.sp.gov.br/curriculopaulista/wpcontent/uploads/2023/02/CURR%C3%8DCULO-PAULISTA-etapa-EnsinoM%C3%A9dio_ISBN.pdf</w:t>
              </w:r>
            </w:hyperlink>
            <w:r>
              <w:t>. Acesso em: 29 abr. 2025</w:t>
            </w:r>
          </w:p>
        </w:tc>
      </w:tr>
    </w:tbl>
    <w:p w14:paraId="7277BA44" w14:textId="77777777" w:rsidR="005D52EF" w:rsidRDefault="005D52EF">
      <w:pPr>
        <w:spacing w:after="0"/>
        <w:rPr>
          <w:b/>
          <w:sz w:val="28"/>
          <w:szCs w:val="28"/>
        </w:rPr>
      </w:pPr>
    </w:p>
    <w:sectPr w:rsidR="005D52EF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731E5" w14:textId="77777777" w:rsidR="0083637D" w:rsidRDefault="0083637D">
      <w:pPr>
        <w:spacing w:after="0" w:line="240" w:lineRule="auto"/>
      </w:pPr>
      <w:r>
        <w:separator/>
      </w:r>
    </w:p>
  </w:endnote>
  <w:endnote w:type="continuationSeparator" w:id="0">
    <w:p w14:paraId="4F218ED1" w14:textId="77777777" w:rsidR="0083637D" w:rsidRDefault="0083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B8C6E" w14:textId="77777777" w:rsidR="0083637D" w:rsidRDefault="0083637D">
      <w:pPr>
        <w:spacing w:after="0" w:line="240" w:lineRule="auto"/>
      </w:pPr>
      <w:r>
        <w:separator/>
      </w:r>
    </w:p>
  </w:footnote>
  <w:footnote w:type="continuationSeparator" w:id="0">
    <w:p w14:paraId="77528B0B" w14:textId="77777777" w:rsidR="0083637D" w:rsidRDefault="0083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A3FE" w14:textId="77777777" w:rsidR="005D52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694297" wp14:editId="162C70BA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661910" cy="637655"/>
              <wp:effectExtent l="0" t="0" r="0" b="0"/>
              <wp:wrapNone/>
              <wp:docPr id="1604936347" name="Retângulo 1604936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F91A8E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694297" id="Retângulo 1604936347" o:spid="_x0000_s1027" style="position:absolute;margin-left:-36pt;margin-top:-6pt;width:603.3pt;height: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HDvlPXgAAAA&#10;CwEAAA8AAAAAAAAAAAAAAAAAKAQAAGRycy9kb3ducmV2LnhtbFBLBQYAAAAABAAEAPMAAAA1BQAA&#10;AAA=&#10;" fillcolor="#009f99" stroked="f">
              <v:textbox inset="2.53958mm,2.53958mm,2.53958mm,2.53958mm">
                <w:txbxContent>
                  <w:p w14:paraId="7FF91A8E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ED4931" wp14:editId="471DAA6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526848" cy="728230"/>
              <wp:effectExtent l="0" t="0" r="0" b="0"/>
              <wp:wrapNone/>
              <wp:docPr id="1604936350" name="Fluxograma: Dados 1604936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0CDF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D493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350" o:spid="_x0000_s1028" type="#_x0000_t111" style="position:absolute;margin-left:-88pt;margin-top:-35pt;width:277.7pt;height:57.3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wIuj/4AAAAAsBAAAPAAAAAAAAAAAAAAAAAEEEAABkcnMvZG93bnJl&#10;di54bWxQSwUGAAAAAAQABADzAAAATgUAAAAA&#10;" fillcolor="#94d8d0" stroked="f">
              <v:textbox inset="2.53958mm,2.53958mm,2.53958mm,2.53958mm">
                <w:txbxContent>
                  <w:p w14:paraId="570CDF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1FF854" wp14:editId="5D869B76">
              <wp:simplePos x="0" y="0"/>
              <wp:positionH relativeFrom="column">
                <wp:posOffset>1765300</wp:posOffset>
              </wp:positionH>
              <wp:positionV relativeFrom="paragraph">
                <wp:posOffset>-431799</wp:posOffset>
              </wp:positionV>
              <wp:extent cx="728230" cy="458066"/>
              <wp:effectExtent l="0" t="0" r="0" b="0"/>
              <wp:wrapNone/>
              <wp:docPr id="1604936349" name="Triângulo isósceles 16049363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084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F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349" o:spid="_x0000_s1029" type="#_x0000_t5" style="position:absolute;margin-left:139pt;margin-top:-34pt;width:57.35pt;height:3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" adj="13088" fillcolor="black [3200]" stroked="f">
              <v:textbox inset="2.53958mm,2.53958mm,2.53958mm,2.53958mm">
                <w:txbxContent>
                  <w:p w14:paraId="605084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06DBC1" wp14:editId="72294570">
          <wp:simplePos x="0" y="0"/>
          <wp:positionH relativeFrom="column">
            <wp:posOffset>5742305</wp:posOffset>
          </wp:positionH>
          <wp:positionV relativeFrom="paragraph">
            <wp:posOffset>-428668</wp:posOffset>
          </wp:positionV>
          <wp:extent cx="942109" cy="561109"/>
          <wp:effectExtent l="0" t="0" r="0" b="0"/>
          <wp:wrapNone/>
          <wp:docPr id="16049363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4"/>
    <w:multiLevelType w:val="multilevel"/>
    <w:tmpl w:val="FD3A4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B61A0B"/>
    <w:multiLevelType w:val="multilevel"/>
    <w:tmpl w:val="B46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95DC0"/>
    <w:multiLevelType w:val="multilevel"/>
    <w:tmpl w:val="A4724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F3FDA"/>
    <w:multiLevelType w:val="multilevel"/>
    <w:tmpl w:val="A886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FF7860"/>
    <w:multiLevelType w:val="multilevel"/>
    <w:tmpl w:val="B3CAE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B00D5"/>
    <w:multiLevelType w:val="multilevel"/>
    <w:tmpl w:val="1BB2C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A54A92"/>
    <w:multiLevelType w:val="multilevel"/>
    <w:tmpl w:val="EB942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184DAC"/>
    <w:multiLevelType w:val="multilevel"/>
    <w:tmpl w:val="0F8A6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EB7578"/>
    <w:multiLevelType w:val="multilevel"/>
    <w:tmpl w:val="9E7A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B75760"/>
    <w:multiLevelType w:val="multilevel"/>
    <w:tmpl w:val="80025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9786616">
    <w:abstractNumId w:val="5"/>
  </w:num>
  <w:num w:numId="2" w16cid:durableId="596058669">
    <w:abstractNumId w:val="1"/>
  </w:num>
  <w:num w:numId="3" w16cid:durableId="1057431248">
    <w:abstractNumId w:val="3"/>
  </w:num>
  <w:num w:numId="4" w16cid:durableId="1685084720">
    <w:abstractNumId w:val="2"/>
  </w:num>
  <w:num w:numId="5" w16cid:durableId="1863395537">
    <w:abstractNumId w:val="7"/>
  </w:num>
  <w:num w:numId="6" w16cid:durableId="1818692174">
    <w:abstractNumId w:val="9"/>
  </w:num>
  <w:num w:numId="7" w16cid:durableId="919221504">
    <w:abstractNumId w:val="4"/>
  </w:num>
  <w:num w:numId="8" w16cid:durableId="949631508">
    <w:abstractNumId w:val="8"/>
  </w:num>
  <w:num w:numId="9" w16cid:durableId="670719398">
    <w:abstractNumId w:val="0"/>
  </w:num>
  <w:num w:numId="10" w16cid:durableId="74672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27688D"/>
    <w:rsid w:val="005D52EF"/>
    <w:rsid w:val="006110E9"/>
    <w:rsid w:val="006F6546"/>
    <w:rsid w:val="0083637D"/>
    <w:rsid w:val="008B4797"/>
    <w:rsid w:val="008C31C6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0AD"/>
  <w15:docId w15:val="{461CA13D-2400-462E-8E07-625C597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M%C3%A9dio_ISB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zV9Iy/vn+MopkiN1zls4HchSQ==">CgMxLjA4AHIhMUZNQUNTWE1SZ0k5dkFHeXVNMzgxSGl2LVhmcU8wYVFV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685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2025-01-31T00:17:00Z</dcterms:created>
  <dcterms:modified xsi:type="dcterms:W3CDTF">2025-10-01T00:22:00Z</dcterms:modified>
</cp:coreProperties>
</file>